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367" w:rsidRDefault="006861C2" w:rsidP="006861C2">
      <w:pPr>
        <w:widowControl w:val="0"/>
        <w:tabs>
          <w:tab w:val="left" w:pos="599"/>
        </w:tabs>
        <w:spacing w:after="0" w:line="567" w:lineRule="exact"/>
        <w:contextualSpacing/>
        <w:jc w:val="center"/>
        <w:rPr>
          <w:rFonts w:ascii="Verdana" w:hAnsi="Verdana"/>
          <w:sz w:val="20"/>
        </w:rPr>
      </w:pPr>
      <w:r>
        <w:rPr>
          <w:rFonts w:ascii="Verdana" w:hAnsi="Verdana"/>
          <w:b/>
          <w:bCs/>
          <w:sz w:val="20"/>
        </w:rPr>
        <w:t xml:space="preserve">          </w:t>
      </w:r>
      <w:r w:rsidR="004F66C0">
        <w:rPr>
          <w:rFonts w:ascii="Verdana" w:hAnsi="Verdana"/>
          <w:b/>
          <w:bCs/>
          <w:i/>
          <w:sz w:val="20"/>
        </w:rPr>
        <w:t>Repubblica</w:t>
      </w:r>
      <w:r w:rsidR="00406367" w:rsidRPr="0080455D">
        <w:rPr>
          <w:rFonts w:ascii="Verdana" w:hAnsi="Verdana"/>
          <w:b/>
          <w:bCs/>
          <w:i/>
          <w:sz w:val="20"/>
        </w:rPr>
        <w:t xml:space="preserve"> italiana</w:t>
      </w:r>
    </w:p>
    <w:p w:rsidR="00406367" w:rsidRPr="0080455D" w:rsidRDefault="00406367" w:rsidP="009D315C">
      <w:pPr>
        <w:widowControl w:val="0"/>
        <w:spacing w:after="0" w:line="567" w:lineRule="exact"/>
        <w:ind w:firstLine="709"/>
        <w:jc w:val="center"/>
        <w:rPr>
          <w:rFonts w:ascii="Verdana" w:hAnsi="Verdana"/>
          <w:b/>
          <w:bCs/>
          <w:i/>
          <w:sz w:val="20"/>
        </w:rPr>
      </w:pPr>
      <w:r w:rsidRPr="0080455D">
        <w:rPr>
          <w:rFonts w:ascii="Verdana" w:hAnsi="Verdana"/>
          <w:b/>
          <w:bCs/>
          <w:i/>
          <w:sz w:val="20"/>
        </w:rPr>
        <w:t>La Corte dei conti</w:t>
      </w:r>
    </w:p>
    <w:p w:rsidR="00406367" w:rsidRPr="0080455D" w:rsidRDefault="00406367" w:rsidP="009D315C">
      <w:pPr>
        <w:widowControl w:val="0"/>
        <w:spacing w:after="0" w:line="567" w:lineRule="exact"/>
        <w:ind w:firstLine="709"/>
        <w:jc w:val="center"/>
        <w:rPr>
          <w:rFonts w:ascii="Verdana" w:hAnsi="Verdana"/>
          <w:b/>
          <w:bCs/>
          <w:i/>
          <w:sz w:val="20"/>
        </w:rPr>
      </w:pPr>
      <w:r w:rsidRPr="0080455D">
        <w:rPr>
          <w:rFonts w:ascii="Verdana" w:hAnsi="Verdana"/>
          <w:b/>
          <w:bCs/>
          <w:i/>
          <w:sz w:val="20"/>
        </w:rPr>
        <w:t>in</w:t>
      </w:r>
    </w:p>
    <w:p w:rsidR="00406367" w:rsidRPr="0080455D" w:rsidRDefault="00406367" w:rsidP="009D315C">
      <w:pPr>
        <w:widowControl w:val="0"/>
        <w:spacing w:after="0" w:line="567" w:lineRule="exact"/>
        <w:ind w:firstLine="709"/>
        <w:jc w:val="center"/>
        <w:rPr>
          <w:rFonts w:ascii="Verdana" w:hAnsi="Verdana"/>
          <w:b/>
          <w:bCs/>
          <w:i/>
          <w:sz w:val="20"/>
        </w:rPr>
      </w:pPr>
      <w:r w:rsidRPr="0080455D">
        <w:rPr>
          <w:rFonts w:ascii="Verdana" w:hAnsi="Verdana"/>
          <w:b/>
          <w:bCs/>
          <w:i/>
          <w:sz w:val="20"/>
        </w:rPr>
        <w:t>Sezione regionale di controllo</w:t>
      </w:r>
    </w:p>
    <w:p w:rsidR="00406367" w:rsidRPr="0080455D" w:rsidRDefault="00406367" w:rsidP="009D315C">
      <w:pPr>
        <w:widowControl w:val="0"/>
        <w:spacing w:after="0" w:line="567" w:lineRule="exact"/>
        <w:ind w:firstLine="709"/>
        <w:jc w:val="center"/>
        <w:rPr>
          <w:rFonts w:ascii="Verdana" w:hAnsi="Verdana"/>
          <w:b/>
          <w:bCs/>
          <w:i/>
          <w:sz w:val="20"/>
        </w:rPr>
      </w:pPr>
      <w:r w:rsidRPr="0080455D">
        <w:rPr>
          <w:rFonts w:ascii="Verdana" w:hAnsi="Verdana"/>
          <w:b/>
          <w:bCs/>
          <w:i/>
          <w:sz w:val="20"/>
        </w:rPr>
        <w:t>per l’Abruzzo</w:t>
      </w:r>
    </w:p>
    <w:p w:rsidR="00C64BB6" w:rsidRPr="00804A30" w:rsidRDefault="00804A30" w:rsidP="00C64BB6">
      <w:pPr>
        <w:pStyle w:val="Corpodeltesto21"/>
        <w:widowControl w:val="0"/>
        <w:spacing w:line="568" w:lineRule="exact"/>
        <w:ind w:left="0" w:firstLine="0"/>
        <w:jc w:val="center"/>
        <w:rPr>
          <w:rFonts w:ascii="Verdana" w:hAnsi="Verdana" w:cs="Arial"/>
          <w:sz w:val="20"/>
        </w:rPr>
      </w:pPr>
      <w:r w:rsidRPr="00804A30">
        <w:rPr>
          <w:rFonts w:ascii="Verdana" w:hAnsi="Verdana" w:cs="Arial"/>
          <w:sz w:val="20"/>
        </w:rPr>
        <w:t xml:space="preserve">nella Camera di consiglio </w:t>
      </w:r>
      <w:r w:rsidRPr="00952CE6">
        <w:rPr>
          <w:rFonts w:ascii="Verdana" w:hAnsi="Verdana" w:cs="Arial"/>
          <w:sz w:val="20"/>
        </w:rPr>
        <w:t xml:space="preserve">del 20 maggio </w:t>
      </w:r>
      <w:r w:rsidR="001A7DE0" w:rsidRPr="00952CE6">
        <w:rPr>
          <w:rFonts w:ascii="Verdana" w:hAnsi="Verdana" w:cs="Arial"/>
          <w:sz w:val="20"/>
        </w:rPr>
        <w:t>201</w:t>
      </w:r>
      <w:r w:rsidR="00935D0C" w:rsidRPr="00952CE6">
        <w:rPr>
          <w:rFonts w:ascii="Verdana" w:hAnsi="Verdana" w:cs="Arial"/>
          <w:sz w:val="20"/>
        </w:rPr>
        <w:t>5</w:t>
      </w:r>
    </w:p>
    <w:p w:rsidR="001A7DE0" w:rsidRDefault="00673BAE" w:rsidP="00B41C66">
      <w:pPr>
        <w:pStyle w:val="Corpotesto"/>
        <w:widowControl w:val="0"/>
        <w:spacing w:line="568" w:lineRule="exact"/>
        <w:ind w:left="567"/>
        <w:rPr>
          <w:rFonts w:ascii="Verdana" w:hAnsi="Verdana"/>
          <w:sz w:val="20"/>
        </w:rPr>
      </w:pPr>
      <w:r w:rsidRPr="00804A30">
        <w:rPr>
          <w:rFonts w:ascii="Verdana" w:hAnsi="Verdana"/>
          <w:sz w:val="20"/>
        </w:rPr>
        <w:t>c</w:t>
      </w:r>
      <w:r w:rsidR="00C64BB6" w:rsidRPr="00804A30">
        <w:rPr>
          <w:rFonts w:ascii="Verdana" w:hAnsi="Verdana"/>
          <w:sz w:val="20"/>
        </w:rPr>
        <w:t>omposta dai Magistrati:</w:t>
      </w:r>
    </w:p>
    <w:tbl>
      <w:tblPr>
        <w:tblW w:w="8364" w:type="dxa"/>
        <w:tblInd w:w="675" w:type="dxa"/>
        <w:tblLook w:val="04A0" w:firstRow="1" w:lastRow="0" w:firstColumn="1" w:lastColumn="0" w:noHBand="0" w:noVBand="1"/>
      </w:tblPr>
      <w:tblGrid>
        <w:gridCol w:w="3969"/>
        <w:gridCol w:w="4395"/>
      </w:tblGrid>
      <w:tr w:rsidR="001A7DE0" w:rsidRPr="00D16491" w:rsidTr="00673BAE">
        <w:trPr>
          <w:trHeight w:val="452"/>
        </w:trPr>
        <w:tc>
          <w:tcPr>
            <w:tcW w:w="3969" w:type="dxa"/>
            <w:shd w:val="clear" w:color="auto" w:fill="auto"/>
          </w:tcPr>
          <w:p w:rsidR="001A7DE0" w:rsidRPr="00D16491" w:rsidRDefault="001A7DE0" w:rsidP="006861C2">
            <w:pPr>
              <w:pStyle w:val="Corpodeltesto22"/>
              <w:widowControl w:val="0"/>
              <w:spacing w:line="567" w:lineRule="exact"/>
              <w:ind w:left="-108" w:firstLine="0"/>
              <w:rPr>
                <w:rFonts w:ascii="Verdana" w:hAnsi="Verdana"/>
                <w:sz w:val="20"/>
              </w:rPr>
            </w:pPr>
            <w:r w:rsidRPr="00D16491">
              <w:rPr>
                <w:rFonts w:ascii="Verdana" w:hAnsi="Verdana"/>
                <w:sz w:val="20"/>
              </w:rPr>
              <w:t>Maria Giovanna GIORDANO</w:t>
            </w:r>
          </w:p>
        </w:tc>
        <w:tc>
          <w:tcPr>
            <w:tcW w:w="4395" w:type="dxa"/>
            <w:shd w:val="clear" w:color="auto" w:fill="auto"/>
          </w:tcPr>
          <w:p w:rsidR="001A7DE0" w:rsidRPr="00D16491" w:rsidRDefault="001A7DE0" w:rsidP="00B41C66">
            <w:pPr>
              <w:pStyle w:val="Corpodeltesto22"/>
              <w:widowControl w:val="0"/>
              <w:spacing w:line="567" w:lineRule="exact"/>
              <w:ind w:left="567" w:firstLine="0"/>
              <w:rPr>
                <w:rFonts w:ascii="Verdana" w:hAnsi="Verdana"/>
                <w:sz w:val="20"/>
              </w:rPr>
            </w:pPr>
            <w:r w:rsidRPr="00D16491">
              <w:rPr>
                <w:rFonts w:ascii="Verdana" w:hAnsi="Verdana"/>
                <w:sz w:val="20"/>
              </w:rPr>
              <w:t>Presidente</w:t>
            </w:r>
          </w:p>
        </w:tc>
      </w:tr>
      <w:tr w:rsidR="001A7DE0" w:rsidRPr="00D16491" w:rsidTr="00673BAE">
        <w:trPr>
          <w:trHeight w:val="452"/>
        </w:trPr>
        <w:tc>
          <w:tcPr>
            <w:tcW w:w="3969" w:type="dxa"/>
            <w:shd w:val="clear" w:color="auto" w:fill="auto"/>
          </w:tcPr>
          <w:p w:rsidR="001A7DE0" w:rsidRPr="00D16491" w:rsidRDefault="001A7DE0" w:rsidP="006861C2">
            <w:pPr>
              <w:pStyle w:val="Corpodeltesto22"/>
              <w:widowControl w:val="0"/>
              <w:spacing w:line="567" w:lineRule="exact"/>
              <w:ind w:left="-108" w:firstLine="0"/>
              <w:rPr>
                <w:rFonts w:ascii="Verdana" w:hAnsi="Verdana"/>
                <w:sz w:val="20"/>
              </w:rPr>
            </w:pPr>
            <w:r w:rsidRPr="00D16491">
              <w:rPr>
                <w:rFonts w:ascii="Verdana" w:hAnsi="Verdana"/>
                <w:sz w:val="20"/>
              </w:rPr>
              <w:t>Lucilla VALENTE</w:t>
            </w:r>
          </w:p>
        </w:tc>
        <w:tc>
          <w:tcPr>
            <w:tcW w:w="4395" w:type="dxa"/>
            <w:shd w:val="clear" w:color="auto" w:fill="auto"/>
          </w:tcPr>
          <w:p w:rsidR="001A7DE0" w:rsidRPr="00D16491" w:rsidRDefault="001A7DE0" w:rsidP="00B41C66">
            <w:pPr>
              <w:pStyle w:val="Corpodeltesto22"/>
              <w:widowControl w:val="0"/>
              <w:spacing w:line="567" w:lineRule="exact"/>
              <w:ind w:left="567" w:firstLine="0"/>
              <w:rPr>
                <w:rFonts w:ascii="Verdana" w:hAnsi="Verdana"/>
                <w:sz w:val="20"/>
              </w:rPr>
            </w:pPr>
            <w:r w:rsidRPr="00D16491">
              <w:rPr>
                <w:rFonts w:ascii="Verdana" w:hAnsi="Verdana"/>
                <w:sz w:val="20"/>
              </w:rPr>
              <w:t>Consigliere</w:t>
            </w:r>
            <w:r w:rsidR="00935D0C">
              <w:rPr>
                <w:rFonts w:ascii="Verdana" w:hAnsi="Verdana"/>
                <w:sz w:val="20"/>
              </w:rPr>
              <w:t xml:space="preserve"> </w:t>
            </w:r>
            <w:r w:rsidR="00935D0C" w:rsidRPr="00D16491">
              <w:rPr>
                <w:rFonts w:ascii="Verdana" w:hAnsi="Verdana"/>
                <w:sz w:val="20"/>
              </w:rPr>
              <w:t>(relatore)</w:t>
            </w:r>
          </w:p>
        </w:tc>
      </w:tr>
      <w:tr w:rsidR="00CB45B0" w:rsidRPr="00D16491" w:rsidTr="00673BAE">
        <w:trPr>
          <w:trHeight w:val="464"/>
        </w:trPr>
        <w:tc>
          <w:tcPr>
            <w:tcW w:w="3969" w:type="dxa"/>
            <w:shd w:val="clear" w:color="auto" w:fill="auto"/>
          </w:tcPr>
          <w:p w:rsidR="00CB45B0" w:rsidRPr="00D16491" w:rsidRDefault="00935D0C" w:rsidP="006861C2">
            <w:pPr>
              <w:pStyle w:val="Corpodeltesto22"/>
              <w:widowControl w:val="0"/>
              <w:spacing w:line="567" w:lineRule="exact"/>
              <w:ind w:left="-108" w:firstLine="0"/>
              <w:rPr>
                <w:rFonts w:ascii="Verdana" w:hAnsi="Verdana"/>
                <w:sz w:val="20"/>
              </w:rPr>
            </w:pPr>
            <w:r>
              <w:rPr>
                <w:rFonts w:ascii="Verdana" w:hAnsi="Verdana"/>
                <w:sz w:val="20"/>
              </w:rPr>
              <w:t>Nicola DI GIANNANTONIO</w:t>
            </w:r>
          </w:p>
        </w:tc>
        <w:tc>
          <w:tcPr>
            <w:tcW w:w="4395" w:type="dxa"/>
            <w:shd w:val="clear" w:color="auto" w:fill="auto"/>
          </w:tcPr>
          <w:p w:rsidR="00CB45B0" w:rsidRPr="00D16491" w:rsidRDefault="00CB45B0" w:rsidP="00B41C66">
            <w:pPr>
              <w:pStyle w:val="Corpodeltesto22"/>
              <w:widowControl w:val="0"/>
              <w:spacing w:line="567" w:lineRule="exact"/>
              <w:ind w:left="567" w:firstLine="0"/>
              <w:rPr>
                <w:rFonts w:ascii="Verdana" w:hAnsi="Verdana"/>
                <w:sz w:val="20"/>
              </w:rPr>
            </w:pPr>
            <w:r>
              <w:rPr>
                <w:rFonts w:ascii="Verdana" w:hAnsi="Verdana"/>
                <w:sz w:val="20"/>
              </w:rPr>
              <w:t>Consigliere</w:t>
            </w:r>
          </w:p>
        </w:tc>
      </w:tr>
      <w:tr w:rsidR="00565453" w:rsidRPr="00B54061" w:rsidTr="00673BAE">
        <w:trPr>
          <w:trHeight w:val="452"/>
        </w:trPr>
        <w:tc>
          <w:tcPr>
            <w:tcW w:w="3969" w:type="dxa"/>
            <w:shd w:val="clear" w:color="auto" w:fill="auto"/>
          </w:tcPr>
          <w:p w:rsidR="00565453" w:rsidRPr="00B54061" w:rsidRDefault="00565453" w:rsidP="006861C2">
            <w:pPr>
              <w:pStyle w:val="Corpodeltesto22"/>
              <w:widowControl w:val="0"/>
              <w:spacing w:line="567" w:lineRule="exact"/>
              <w:ind w:left="-108" w:firstLine="0"/>
              <w:rPr>
                <w:rFonts w:ascii="Verdana" w:hAnsi="Verdana"/>
                <w:sz w:val="20"/>
              </w:rPr>
            </w:pPr>
            <w:r w:rsidRPr="00B54061">
              <w:rPr>
                <w:rFonts w:ascii="Verdana" w:hAnsi="Verdana"/>
                <w:sz w:val="20"/>
              </w:rPr>
              <w:t>Angelo Maria QUAGLINI</w:t>
            </w:r>
          </w:p>
        </w:tc>
        <w:tc>
          <w:tcPr>
            <w:tcW w:w="4395" w:type="dxa"/>
            <w:shd w:val="clear" w:color="auto" w:fill="auto"/>
          </w:tcPr>
          <w:p w:rsidR="00565453" w:rsidRPr="00B54061" w:rsidRDefault="00565453" w:rsidP="00B41C66">
            <w:pPr>
              <w:pStyle w:val="Corpodeltesto22"/>
              <w:widowControl w:val="0"/>
              <w:spacing w:line="567" w:lineRule="exact"/>
              <w:ind w:left="567" w:firstLine="0"/>
              <w:rPr>
                <w:rFonts w:ascii="Verdana" w:hAnsi="Verdana"/>
                <w:sz w:val="20"/>
              </w:rPr>
            </w:pPr>
            <w:r w:rsidRPr="00B54061">
              <w:rPr>
                <w:rFonts w:ascii="Verdana" w:hAnsi="Verdana"/>
                <w:sz w:val="20"/>
              </w:rPr>
              <w:t xml:space="preserve">Referendario </w:t>
            </w:r>
          </w:p>
        </w:tc>
      </w:tr>
    </w:tbl>
    <w:p w:rsidR="00C64BB6" w:rsidRPr="00B54061" w:rsidRDefault="009D315C" w:rsidP="00DA6A4C">
      <w:pPr>
        <w:pStyle w:val="Corpotesto"/>
        <w:widowControl w:val="0"/>
        <w:spacing w:line="568" w:lineRule="exact"/>
        <w:ind w:firstLine="539"/>
        <w:rPr>
          <w:rFonts w:ascii="Verdana" w:hAnsi="Verdana"/>
          <w:sz w:val="20"/>
        </w:rPr>
      </w:pPr>
      <w:r w:rsidRPr="00B54061">
        <w:rPr>
          <w:rFonts w:ascii="Verdana" w:hAnsi="Verdana"/>
          <w:sz w:val="20"/>
        </w:rPr>
        <w:t>v</w:t>
      </w:r>
      <w:r w:rsidR="00C64BB6" w:rsidRPr="00B54061">
        <w:rPr>
          <w:rFonts w:ascii="Verdana" w:hAnsi="Verdana"/>
          <w:sz w:val="20"/>
        </w:rPr>
        <w:t>isto l’articolo 100, comma 2, della Costituzione;</w:t>
      </w:r>
    </w:p>
    <w:p w:rsidR="005D6AD6" w:rsidRPr="00B54061" w:rsidRDefault="009D315C" w:rsidP="00DA6A4C">
      <w:pPr>
        <w:pStyle w:val="Corpotesto"/>
        <w:widowControl w:val="0"/>
        <w:spacing w:line="568" w:lineRule="exact"/>
        <w:ind w:firstLine="539"/>
        <w:rPr>
          <w:rFonts w:ascii="Verdana" w:hAnsi="Verdana"/>
          <w:sz w:val="20"/>
        </w:rPr>
      </w:pPr>
      <w:r w:rsidRPr="00B54061">
        <w:rPr>
          <w:rFonts w:ascii="Verdana" w:hAnsi="Verdana"/>
          <w:sz w:val="20"/>
        </w:rPr>
        <w:t>v</w:t>
      </w:r>
      <w:r w:rsidR="00C64BB6" w:rsidRPr="00B54061">
        <w:rPr>
          <w:rFonts w:ascii="Verdana" w:hAnsi="Verdana"/>
          <w:sz w:val="20"/>
        </w:rPr>
        <w:t xml:space="preserve">isto il </w:t>
      </w:r>
      <w:r w:rsidR="005513E8" w:rsidRPr="00B54061">
        <w:rPr>
          <w:rFonts w:ascii="Verdana" w:hAnsi="Verdana"/>
          <w:sz w:val="20"/>
        </w:rPr>
        <w:t xml:space="preserve">T.U. </w:t>
      </w:r>
      <w:r w:rsidR="00C64BB6" w:rsidRPr="00B54061">
        <w:rPr>
          <w:rFonts w:ascii="Verdana" w:hAnsi="Verdana"/>
          <w:sz w:val="20"/>
        </w:rPr>
        <w:t xml:space="preserve">delle leggi sulla Corte dei conti, approvato con R.D. </w:t>
      </w:r>
      <w:smartTag w:uri="urn:schemas-microsoft-com:office:smarttags" w:element="date">
        <w:smartTagPr>
          <w:attr w:name="ls" w:val="trans"/>
          <w:attr w:name="Month" w:val="7"/>
          <w:attr w:name="Day" w:val="12"/>
          <w:attr w:name="Year" w:val="19"/>
        </w:smartTagPr>
        <w:r w:rsidR="00C64BB6" w:rsidRPr="00B54061">
          <w:rPr>
            <w:rFonts w:ascii="Verdana" w:hAnsi="Verdana"/>
            <w:sz w:val="20"/>
          </w:rPr>
          <w:t>12 luglio 19</w:t>
        </w:r>
      </w:smartTag>
      <w:r w:rsidR="00C64BB6" w:rsidRPr="00B54061">
        <w:rPr>
          <w:rFonts w:ascii="Verdana" w:hAnsi="Verdana"/>
          <w:sz w:val="20"/>
        </w:rPr>
        <w:t>34, n. 1214</w:t>
      </w:r>
      <w:r w:rsidR="005D6AD6" w:rsidRPr="00B54061">
        <w:rPr>
          <w:rFonts w:ascii="Verdana" w:hAnsi="Verdana"/>
          <w:sz w:val="20"/>
        </w:rPr>
        <w:t>, e successive modificazioni;</w:t>
      </w:r>
    </w:p>
    <w:p w:rsidR="00C64BB6" w:rsidRPr="00B54061" w:rsidRDefault="009D315C" w:rsidP="00DA6A4C">
      <w:pPr>
        <w:pStyle w:val="Corpotesto"/>
        <w:widowControl w:val="0"/>
        <w:spacing w:line="568" w:lineRule="exact"/>
        <w:ind w:firstLine="539"/>
        <w:rPr>
          <w:rFonts w:ascii="Verdana" w:hAnsi="Verdana"/>
          <w:sz w:val="20"/>
        </w:rPr>
      </w:pPr>
      <w:r w:rsidRPr="00B54061">
        <w:rPr>
          <w:rFonts w:ascii="Verdana" w:hAnsi="Verdana"/>
          <w:sz w:val="20"/>
        </w:rPr>
        <w:t>v</w:t>
      </w:r>
      <w:r w:rsidR="00C64BB6" w:rsidRPr="00B54061">
        <w:rPr>
          <w:rFonts w:ascii="Verdana" w:hAnsi="Verdana"/>
          <w:sz w:val="20"/>
        </w:rPr>
        <w:t>ista la legge 14 gennaio 1994, n. 20 e successive modificazioni ed integrazioni;</w:t>
      </w:r>
    </w:p>
    <w:p w:rsidR="00CB45B0" w:rsidRPr="00B54061" w:rsidRDefault="009D315C" w:rsidP="00DA6A4C">
      <w:pPr>
        <w:pStyle w:val="Corpotesto"/>
        <w:widowControl w:val="0"/>
        <w:spacing w:line="568" w:lineRule="exact"/>
        <w:ind w:firstLine="539"/>
        <w:rPr>
          <w:rFonts w:ascii="Verdana" w:hAnsi="Verdana"/>
          <w:sz w:val="20"/>
        </w:rPr>
      </w:pPr>
      <w:r w:rsidRPr="00B54061">
        <w:rPr>
          <w:rFonts w:ascii="Verdana" w:hAnsi="Verdana"/>
          <w:sz w:val="20"/>
        </w:rPr>
        <w:t>v</w:t>
      </w:r>
      <w:r w:rsidR="00CB45B0" w:rsidRPr="00B54061">
        <w:rPr>
          <w:rFonts w:ascii="Verdana" w:hAnsi="Verdana"/>
          <w:sz w:val="20"/>
        </w:rPr>
        <w:t xml:space="preserve">isto il Regolamento concernente l’organizzazione delle funzioni di controllo della Corte dei conti, nel testo modificato, da ultimo, con deliberazione del Consiglio di Presidenza n. 229/CP/2008 del 19 giugno 2008 (G.U. n. 153 del </w:t>
      </w:r>
      <w:r w:rsidR="000D7979" w:rsidRPr="00B54061">
        <w:rPr>
          <w:rFonts w:ascii="Verdana" w:hAnsi="Verdana"/>
          <w:sz w:val="20"/>
        </w:rPr>
        <w:t>0</w:t>
      </w:r>
      <w:r w:rsidR="00CB45B0" w:rsidRPr="00B54061">
        <w:rPr>
          <w:rFonts w:ascii="Verdana" w:hAnsi="Verdana"/>
          <w:sz w:val="20"/>
        </w:rPr>
        <w:t>2.07.2008);</w:t>
      </w:r>
    </w:p>
    <w:p w:rsidR="00052A7B" w:rsidRPr="00B54061" w:rsidRDefault="009D315C" w:rsidP="00DA6A4C">
      <w:pPr>
        <w:pStyle w:val="Corpotesto"/>
        <w:widowControl w:val="0"/>
        <w:spacing w:line="568" w:lineRule="exact"/>
        <w:ind w:firstLine="539"/>
        <w:rPr>
          <w:rFonts w:ascii="Verdana" w:hAnsi="Verdana"/>
          <w:sz w:val="20"/>
        </w:rPr>
      </w:pPr>
      <w:r w:rsidRPr="00B54061">
        <w:rPr>
          <w:rFonts w:ascii="Verdana" w:hAnsi="Verdana"/>
          <w:sz w:val="20"/>
        </w:rPr>
        <w:t>v</w:t>
      </w:r>
      <w:r w:rsidR="00052A7B" w:rsidRPr="00B54061">
        <w:rPr>
          <w:rFonts w:ascii="Verdana" w:hAnsi="Verdana"/>
          <w:sz w:val="20"/>
        </w:rPr>
        <w:t>ista la legge costituzionale 18 ottobre 2001, n. 3;</w:t>
      </w:r>
    </w:p>
    <w:p w:rsidR="00052A7B" w:rsidRPr="00B54061" w:rsidRDefault="009D315C" w:rsidP="00DA6A4C">
      <w:pPr>
        <w:pStyle w:val="Corpotesto"/>
        <w:widowControl w:val="0"/>
        <w:spacing w:line="568" w:lineRule="exact"/>
        <w:ind w:firstLine="539"/>
        <w:rPr>
          <w:rFonts w:ascii="Verdana" w:hAnsi="Verdana"/>
          <w:sz w:val="20"/>
        </w:rPr>
      </w:pPr>
      <w:r w:rsidRPr="00B54061">
        <w:rPr>
          <w:rFonts w:ascii="Verdana" w:hAnsi="Verdana"/>
          <w:sz w:val="20"/>
        </w:rPr>
        <w:t>v</w:t>
      </w:r>
      <w:r w:rsidR="00052A7B" w:rsidRPr="00B54061">
        <w:rPr>
          <w:rFonts w:ascii="Verdana" w:hAnsi="Verdana"/>
          <w:sz w:val="20"/>
        </w:rPr>
        <w:t>ista la legge 5 giugno 2003, n. 131, relativa alle “</w:t>
      </w:r>
      <w:r w:rsidR="00BE0287" w:rsidRPr="00B54061">
        <w:rPr>
          <w:rFonts w:ascii="Verdana" w:hAnsi="Verdana"/>
          <w:i/>
          <w:sz w:val="20"/>
        </w:rPr>
        <w:t xml:space="preserve">Disposizioni per </w:t>
      </w:r>
      <w:r w:rsidR="00BE0287" w:rsidRPr="00B54061">
        <w:rPr>
          <w:rFonts w:ascii="Verdana" w:hAnsi="Verdana"/>
          <w:i/>
          <w:sz w:val="20"/>
        </w:rPr>
        <w:lastRenderedPageBreak/>
        <w:t>l’adeguamento</w:t>
      </w:r>
      <w:r w:rsidR="000D7979" w:rsidRPr="00B54061">
        <w:rPr>
          <w:rFonts w:ascii="Verdana" w:hAnsi="Verdana"/>
          <w:i/>
          <w:sz w:val="20"/>
        </w:rPr>
        <w:t xml:space="preserve"> </w:t>
      </w:r>
      <w:r w:rsidR="00052A7B" w:rsidRPr="00B54061">
        <w:rPr>
          <w:rFonts w:ascii="Verdana" w:hAnsi="Verdana"/>
          <w:i/>
          <w:sz w:val="20"/>
        </w:rPr>
        <w:t>dell’ordinamento della Repubblica alla legge costituzionale 18 ottobre 2001, n. 3</w:t>
      </w:r>
      <w:r w:rsidR="00052A7B" w:rsidRPr="00B54061">
        <w:rPr>
          <w:rFonts w:ascii="Verdana" w:hAnsi="Verdana"/>
          <w:sz w:val="20"/>
        </w:rPr>
        <w:t>”;</w:t>
      </w:r>
    </w:p>
    <w:p w:rsidR="006F4A2B" w:rsidRDefault="009D315C" w:rsidP="00DA6A4C">
      <w:pPr>
        <w:pStyle w:val="Corpotesto"/>
        <w:widowControl w:val="0"/>
        <w:spacing w:line="568" w:lineRule="exact"/>
        <w:ind w:firstLine="539"/>
        <w:rPr>
          <w:rFonts w:ascii="Verdana" w:hAnsi="Verdana"/>
          <w:sz w:val="20"/>
        </w:rPr>
      </w:pPr>
      <w:r w:rsidRPr="00794C36">
        <w:rPr>
          <w:rFonts w:ascii="Verdana" w:hAnsi="Verdana"/>
          <w:sz w:val="20"/>
        </w:rPr>
        <w:t>v</w:t>
      </w:r>
      <w:r w:rsidR="006F03F5" w:rsidRPr="00794C36">
        <w:rPr>
          <w:rFonts w:ascii="Verdana" w:hAnsi="Verdana"/>
          <w:sz w:val="20"/>
        </w:rPr>
        <w:t>ist</w:t>
      </w:r>
      <w:r w:rsidR="00794C36" w:rsidRPr="00794C36">
        <w:rPr>
          <w:rFonts w:ascii="Verdana" w:hAnsi="Verdana"/>
          <w:sz w:val="20"/>
        </w:rPr>
        <w:t xml:space="preserve">a l’ordinanza del 4 marzo </w:t>
      </w:r>
      <w:r w:rsidR="006F03F5" w:rsidRPr="00794C36">
        <w:rPr>
          <w:rFonts w:ascii="Verdana" w:hAnsi="Verdana"/>
          <w:sz w:val="20"/>
        </w:rPr>
        <w:t>201</w:t>
      </w:r>
      <w:r w:rsidR="00794C36" w:rsidRPr="00794C36">
        <w:rPr>
          <w:rFonts w:ascii="Verdana" w:hAnsi="Verdana"/>
          <w:sz w:val="20"/>
        </w:rPr>
        <w:t>3</w:t>
      </w:r>
      <w:r w:rsidR="006F03F5" w:rsidRPr="00794C36">
        <w:rPr>
          <w:rFonts w:ascii="Verdana" w:hAnsi="Verdana"/>
          <w:sz w:val="20"/>
        </w:rPr>
        <w:t xml:space="preserve">, n. </w:t>
      </w:r>
      <w:r w:rsidR="00794C36" w:rsidRPr="00794C36">
        <w:rPr>
          <w:rFonts w:ascii="Verdana" w:hAnsi="Verdana"/>
          <w:sz w:val="20"/>
        </w:rPr>
        <w:t>6/2013, e successive modificazione ed integrazioni,</w:t>
      </w:r>
      <w:r w:rsidR="006F03F5" w:rsidRPr="00794C36">
        <w:rPr>
          <w:rFonts w:ascii="Verdana" w:hAnsi="Verdana"/>
          <w:sz w:val="20"/>
        </w:rPr>
        <w:t xml:space="preserve"> di ripartizione tra i Magistrati dei compiti e delle iniziative riferibili alle varie aree di attività rientranti nella competenza della Sezione regionale di controllo per l’Abruzzo;</w:t>
      </w:r>
    </w:p>
    <w:p w:rsidR="00E94FD1" w:rsidRPr="00A7146E" w:rsidRDefault="00E94FD1" w:rsidP="00DA6A4C">
      <w:pPr>
        <w:pStyle w:val="Corpotesto"/>
        <w:widowControl w:val="0"/>
        <w:spacing w:line="568" w:lineRule="exact"/>
        <w:ind w:firstLine="539"/>
        <w:rPr>
          <w:rFonts w:ascii="Verdana" w:hAnsi="Verdana"/>
          <w:i/>
          <w:color w:val="4F81BD"/>
          <w:sz w:val="20"/>
        </w:rPr>
      </w:pPr>
      <w:r w:rsidRPr="0065562B">
        <w:rPr>
          <w:rFonts w:ascii="Verdana" w:hAnsi="Verdana"/>
          <w:sz w:val="20"/>
        </w:rPr>
        <w:t>vista la nota n. 8895 del 23 aprile 2015, con la quale il Presidente del Consiglio regionale dell’Abruzzo ha posto un quesito in merito</w:t>
      </w:r>
      <w:r w:rsidRPr="00A7146E">
        <w:rPr>
          <w:rFonts w:ascii="Verdana" w:hAnsi="Verdana"/>
          <w:i/>
          <w:color w:val="4F81BD"/>
          <w:sz w:val="20"/>
        </w:rPr>
        <w:t xml:space="preserve"> </w:t>
      </w:r>
      <w:r>
        <w:rPr>
          <w:rFonts w:ascii="Verdana" w:hAnsi="Verdana"/>
          <w:sz w:val="20"/>
        </w:rPr>
        <w:t>all’ambito applicativo dell’articolo 1, comma 456, della l</w:t>
      </w:r>
      <w:r w:rsidR="00C23238">
        <w:rPr>
          <w:rFonts w:ascii="Verdana" w:hAnsi="Verdana"/>
          <w:sz w:val="20"/>
        </w:rPr>
        <w:t>egge 27 dicembre 2013, n. 147 (l</w:t>
      </w:r>
      <w:r>
        <w:rPr>
          <w:rFonts w:ascii="Verdana" w:hAnsi="Verdana"/>
          <w:sz w:val="20"/>
        </w:rPr>
        <w:t xml:space="preserve">egge di </w:t>
      </w:r>
      <w:r w:rsidR="00897E37">
        <w:rPr>
          <w:rFonts w:ascii="Verdana" w:hAnsi="Verdana"/>
          <w:sz w:val="20"/>
        </w:rPr>
        <w:t>s</w:t>
      </w:r>
      <w:r>
        <w:rPr>
          <w:rFonts w:ascii="Verdana" w:hAnsi="Verdana"/>
          <w:sz w:val="20"/>
        </w:rPr>
        <w:t>tabilità 2014), che ha modificato ed integrato l’articolo 9 del decreto legge 31 maggio 2010, n. 78;</w:t>
      </w:r>
    </w:p>
    <w:p w:rsidR="00472303" w:rsidRPr="00170592" w:rsidRDefault="00B635C0" w:rsidP="00DA6A4C">
      <w:pPr>
        <w:pStyle w:val="Corpotesto"/>
        <w:widowControl w:val="0"/>
        <w:spacing w:line="568" w:lineRule="exact"/>
        <w:ind w:firstLine="539"/>
        <w:rPr>
          <w:rFonts w:ascii="Verdana" w:hAnsi="Verdana"/>
          <w:sz w:val="20"/>
        </w:rPr>
      </w:pPr>
      <w:r w:rsidRPr="00600659">
        <w:rPr>
          <w:rFonts w:ascii="Verdana" w:hAnsi="Verdana"/>
          <w:sz w:val="20"/>
        </w:rPr>
        <w:t>v</w:t>
      </w:r>
      <w:r w:rsidR="00472303" w:rsidRPr="00600659">
        <w:rPr>
          <w:rFonts w:ascii="Verdana" w:hAnsi="Verdana"/>
          <w:sz w:val="20"/>
        </w:rPr>
        <w:t xml:space="preserve">ista l’ordinanza del </w:t>
      </w:r>
      <w:r w:rsidR="00600659" w:rsidRPr="006861C2">
        <w:rPr>
          <w:rFonts w:ascii="Verdana" w:hAnsi="Verdana"/>
          <w:sz w:val="20"/>
        </w:rPr>
        <w:t>18 maggio</w:t>
      </w:r>
      <w:r w:rsidRPr="006861C2">
        <w:rPr>
          <w:rFonts w:ascii="Verdana" w:hAnsi="Verdana"/>
          <w:sz w:val="20"/>
        </w:rPr>
        <w:t xml:space="preserve"> </w:t>
      </w:r>
      <w:r w:rsidR="00170592" w:rsidRPr="006861C2">
        <w:rPr>
          <w:rFonts w:ascii="Verdana" w:hAnsi="Verdana"/>
          <w:sz w:val="20"/>
        </w:rPr>
        <w:t>2015</w:t>
      </w:r>
      <w:r w:rsidR="00F97826" w:rsidRPr="006861C2">
        <w:rPr>
          <w:rFonts w:ascii="Verdana" w:hAnsi="Verdana"/>
          <w:sz w:val="20"/>
        </w:rPr>
        <w:t>,</w:t>
      </w:r>
      <w:r w:rsidR="005B00FF" w:rsidRPr="006861C2">
        <w:rPr>
          <w:rFonts w:ascii="Verdana" w:hAnsi="Verdana"/>
          <w:sz w:val="20"/>
        </w:rPr>
        <w:t xml:space="preserve"> n. </w:t>
      </w:r>
      <w:r w:rsidR="00600659" w:rsidRPr="006861C2">
        <w:rPr>
          <w:rFonts w:ascii="Verdana" w:hAnsi="Verdana"/>
          <w:sz w:val="20"/>
        </w:rPr>
        <w:t>17/</w:t>
      </w:r>
      <w:r w:rsidR="005B00FF" w:rsidRPr="006861C2">
        <w:rPr>
          <w:rFonts w:ascii="Verdana" w:hAnsi="Verdana"/>
          <w:sz w:val="20"/>
        </w:rPr>
        <w:t>201</w:t>
      </w:r>
      <w:r w:rsidR="00170592" w:rsidRPr="006861C2">
        <w:rPr>
          <w:rFonts w:ascii="Verdana" w:hAnsi="Verdana"/>
          <w:sz w:val="20"/>
        </w:rPr>
        <w:t>5,</w:t>
      </w:r>
      <w:r w:rsidR="00472303" w:rsidRPr="00600659">
        <w:rPr>
          <w:rFonts w:ascii="Verdana" w:hAnsi="Verdana"/>
          <w:sz w:val="20"/>
        </w:rPr>
        <w:t xml:space="preserve"> </w:t>
      </w:r>
      <w:r w:rsidR="005B00FF" w:rsidRPr="00600659">
        <w:rPr>
          <w:rFonts w:ascii="Verdana" w:hAnsi="Verdana"/>
          <w:sz w:val="20"/>
        </w:rPr>
        <w:t>con</w:t>
      </w:r>
      <w:r w:rsidR="005B00FF" w:rsidRPr="00170592">
        <w:rPr>
          <w:rFonts w:ascii="Verdana" w:hAnsi="Verdana"/>
          <w:sz w:val="20"/>
        </w:rPr>
        <w:t xml:space="preserve"> la quale il Presidente </w:t>
      </w:r>
      <w:r w:rsidR="00472303" w:rsidRPr="00170592">
        <w:rPr>
          <w:rFonts w:ascii="Verdana" w:hAnsi="Verdana"/>
          <w:sz w:val="20"/>
        </w:rPr>
        <w:t>della Sezione regionale di controllo per l’Abruzzo ha convocato la Sezione per la data odierna;</w:t>
      </w:r>
    </w:p>
    <w:p w:rsidR="005D6AD6" w:rsidRPr="005D6AD6" w:rsidRDefault="00B635C0" w:rsidP="00DA6A4C">
      <w:pPr>
        <w:pStyle w:val="Corpotesto"/>
        <w:widowControl w:val="0"/>
        <w:spacing w:line="568" w:lineRule="exact"/>
        <w:ind w:firstLine="539"/>
        <w:rPr>
          <w:rFonts w:ascii="Verdana" w:hAnsi="Verdana"/>
          <w:sz w:val="20"/>
        </w:rPr>
      </w:pPr>
      <w:r w:rsidRPr="00170592">
        <w:rPr>
          <w:rFonts w:ascii="Verdana" w:hAnsi="Verdana"/>
          <w:sz w:val="20"/>
        </w:rPr>
        <w:t>u</w:t>
      </w:r>
      <w:r w:rsidR="005D6AD6" w:rsidRPr="00170592">
        <w:rPr>
          <w:rFonts w:ascii="Verdana" w:hAnsi="Verdana"/>
          <w:sz w:val="20"/>
        </w:rPr>
        <w:t xml:space="preserve">dito il relatore, </w:t>
      </w:r>
      <w:r w:rsidR="00BE3480" w:rsidRPr="00170592">
        <w:rPr>
          <w:rFonts w:ascii="Verdana" w:hAnsi="Verdana"/>
          <w:sz w:val="20"/>
        </w:rPr>
        <w:t>Cons. Lucilla Valente</w:t>
      </w:r>
      <w:r w:rsidRPr="00170592">
        <w:rPr>
          <w:rFonts w:ascii="Verdana" w:hAnsi="Verdana"/>
          <w:sz w:val="20"/>
        </w:rPr>
        <w:t>;</w:t>
      </w:r>
    </w:p>
    <w:p w:rsidR="00421A55" w:rsidRPr="00421A55" w:rsidRDefault="00C23238" w:rsidP="00245E8D">
      <w:pPr>
        <w:widowControl w:val="0"/>
        <w:spacing w:after="0" w:line="567" w:lineRule="exact"/>
        <w:ind w:firstLine="539"/>
        <w:jc w:val="center"/>
        <w:rPr>
          <w:rFonts w:ascii="Verdana" w:hAnsi="Verdana"/>
          <w:b/>
          <w:sz w:val="20"/>
          <w:szCs w:val="20"/>
        </w:rPr>
      </w:pPr>
      <w:r>
        <w:rPr>
          <w:rFonts w:ascii="Verdana" w:hAnsi="Verdana"/>
          <w:b/>
          <w:sz w:val="20"/>
          <w:szCs w:val="20"/>
        </w:rPr>
        <w:t>PREMESSO</w:t>
      </w:r>
    </w:p>
    <w:p w:rsidR="00E671A1" w:rsidRDefault="00C23238" w:rsidP="00DA6A4C">
      <w:pPr>
        <w:pStyle w:val="Corpotesto"/>
        <w:widowControl w:val="0"/>
        <w:spacing w:line="568" w:lineRule="exact"/>
        <w:ind w:firstLine="539"/>
        <w:rPr>
          <w:rFonts w:ascii="Verdana" w:hAnsi="Verdana"/>
          <w:i/>
          <w:sz w:val="20"/>
        </w:rPr>
      </w:pPr>
      <w:r>
        <w:rPr>
          <w:rFonts w:ascii="Verdana" w:hAnsi="Verdana"/>
          <w:sz w:val="20"/>
        </w:rPr>
        <w:t>L</w:t>
      </w:r>
      <w:r w:rsidR="00BE3480">
        <w:rPr>
          <w:rFonts w:ascii="Verdana" w:hAnsi="Verdana"/>
          <w:sz w:val="20"/>
        </w:rPr>
        <w:t xml:space="preserve">a Regione Abruzzo, </w:t>
      </w:r>
      <w:r w:rsidR="00B635C0">
        <w:rPr>
          <w:rFonts w:ascii="Verdana" w:hAnsi="Verdana"/>
          <w:sz w:val="20"/>
        </w:rPr>
        <w:t>c</w:t>
      </w:r>
      <w:r w:rsidR="008567EE">
        <w:rPr>
          <w:rFonts w:ascii="Verdana" w:hAnsi="Verdana"/>
          <w:sz w:val="20"/>
        </w:rPr>
        <w:t xml:space="preserve">on nota del </w:t>
      </w:r>
      <w:r w:rsidR="00BE3480">
        <w:rPr>
          <w:rFonts w:ascii="Verdana" w:hAnsi="Verdana"/>
          <w:sz w:val="20"/>
        </w:rPr>
        <w:t>23 aprile 2015, a firma del</w:t>
      </w:r>
      <w:r w:rsidR="008567EE">
        <w:rPr>
          <w:rFonts w:ascii="Verdana" w:hAnsi="Verdana"/>
          <w:sz w:val="20"/>
        </w:rPr>
        <w:t xml:space="preserve"> </w:t>
      </w:r>
      <w:r w:rsidR="008567EE" w:rsidRPr="00952CE6">
        <w:rPr>
          <w:rFonts w:ascii="Verdana" w:hAnsi="Verdana"/>
          <w:sz w:val="20"/>
        </w:rPr>
        <w:t>Presidente del Consiglio regionale dell’Abruzzo</w:t>
      </w:r>
      <w:r w:rsidR="00BE3480" w:rsidRPr="00952CE6">
        <w:rPr>
          <w:rFonts w:ascii="Verdana" w:hAnsi="Verdana"/>
          <w:sz w:val="20"/>
        </w:rPr>
        <w:t>,</w:t>
      </w:r>
      <w:r w:rsidR="008567EE">
        <w:rPr>
          <w:rFonts w:ascii="Verdana" w:hAnsi="Verdana"/>
          <w:b/>
          <w:sz w:val="20"/>
        </w:rPr>
        <w:t xml:space="preserve"> </w:t>
      </w:r>
      <w:r w:rsidR="008567EE">
        <w:rPr>
          <w:rFonts w:ascii="Verdana" w:hAnsi="Verdana"/>
          <w:sz w:val="20"/>
        </w:rPr>
        <w:t>ha</w:t>
      </w:r>
      <w:r w:rsidR="00E671A1">
        <w:rPr>
          <w:rFonts w:ascii="Verdana" w:hAnsi="Verdana"/>
          <w:sz w:val="20"/>
        </w:rPr>
        <w:t>, con articolate argomentazioni, sollevato dubbi in ordine all’ambito applicativo dell’articolo 1, comma 456</w:t>
      </w:r>
      <w:r w:rsidR="00261F4B">
        <w:rPr>
          <w:rFonts w:ascii="Verdana" w:hAnsi="Verdana"/>
          <w:sz w:val="20"/>
        </w:rPr>
        <w:t>,</w:t>
      </w:r>
      <w:r w:rsidR="00E671A1">
        <w:rPr>
          <w:rFonts w:ascii="Verdana" w:hAnsi="Verdana"/>
          <w:sz w:val="20"/>
        </w:rPr>
        <w:t xml:space="preserve"> della l</w:t>
      </w:r>
      <w:r>
        <w:rPr>
          <w:rFonts w:ascii="Verdana" w:hAnsi="Verdana"/>
          <w:sz w:val="20"/>
        </w:rPr>
        <w:t>egge 27 dicembre 2013, n. 147 (l</w:t>
      </w:r>
      <w:r w:rsidR="00E671A1">
        <w:rPr>
          <w:rFonts w:ascii="Verdana" w:hAnsi="Verdana"/>
          <w:sz w:val="20"/>
        </w:rPr>
        <w:t xml:space="preserve">egge di </w:t>
      </w:r>
      <w:r w:rsidR="00897E37">
        <w:rPr>
          <w:rFonts w:ascii="Verdana" w:hAnsi="Verdana"/>
          <w:sz w:val="20"/>
        </w:rPr>
        <w:t>s</w:t>
      </w:r>
      <w:r w:rsidR="00E671A1">
        <w:rPr>
          <w:rFonts w:ascii="Verdana" w:hAnsi="Verdana"/>
          <w:sz w:val="20"/>
        </w:rPr>
        <w:t xml:space="preserve">tabilità 2014), che ha modificato ed integrato l’articolo 9 del decreto legge 31 maggio 2010, n. 78, che ora testualmente recita </w:t>
      </w:r>
      <w:r w:rsidR="00261F4B">
        <w:rPr>
          <w:rFonts w:ascii="Verdana" w:hAnsi="Verdana"/>
          <w:sz w:val="20"/>
        </w:rPr>
        <w:t xml:space="preserve">                  (comma 2</w:t>
      </w:r>
      <w:r w:rsidR="00E671A1">
        <w:rPr>
          <w:rFonts w:ascii="Verdana" w:hAnsi="Verdana"/>
          <w:sz w:val="20"/>
        </w:rPr>
        <w:t>-</w:t>
      </w:r>
      <w:r w:rsidR="00E671A1" w:rsidRPr="00E671A1">
        <w:rPr>
          <w:rFonts w:ascii="Verdana" w:hAnsi="Verdana"/>
          <w:i/>
          <w:sz w:val="20"/>
        </w:rPr>
        <w:t>bis</w:t>
      </w:r>
      <w:r w:rsidR="00E671A1">
        <w:rPr>
          <w:rFonts w:ascii="Verdana" w:hAnsi="Verdana"/>
          <w:sz w:val="20"/>
        </w:rPr>
        <w:t xml:space="preserve">) che </w:t>
      </w:r>
      <w:r w:rsidR="00E671A1" w:rsidRPr="00E671A1">
        <w:rPr>
          <w:rFonts w:ascii="Verdana" w:hAnsi="Verdana"/>
          <w:i/>
          <w:sz w:val="20"/>
        </w:rPr>
        <w:t>“</w:t>
      </w:r>
      <w:r w:rsidR="00E671A1">
        <w:rPr>
          <w:rFonts w:ascii="Verdana" w:hAnsi="Verdana"/>
          <w:i/>
          <w:sz w:val="20"/>
        </w:rPr>
        <w:t xml:space="preserve">a </w:t>
      </w:r>
      <w:r w:rsidR="00E671A1" w:rsidRPr="00E671A1">
        <w:rPr>
          <w:rFonts w:ascii="Verdana" w:hAnsi="Verdana"/>
          <w:i/>
          <w:sz w:val="20"/>
        </w:rPr>
        <w:t xml:space="preserve">decorrere dal 1º gennaio 2011 e sino al 31 </w:t>
      </w:r>
      <w:r w:rsidR="00E671A1" w:rsidRPr="00E671A1">
        <w:rPr>
          <w:rFonts w:ascii="Verdana" w:hAnsi="Verdana"/>
          <w:i/>
          <w:sz w:val="20"/>
        </w:rPr>
        <w:lastRenderedPageBreak/>
        <w:t>dicembre 2014 l'ammontare complessivo delle risorse destinate annualmente al trattamento accessorio del personale, anche di livello dirigenziale, di ciascuna delle amministrazioni di cui all'</w:t>
      </w:r>
      <w:hyperlink r:id="rId10" w:anchor="id=10LX0000145985ART2,__m=document" w:history="1">
        <w:r w:rsidR="00E671A1" w:rsidRPr="00E671A1">
          <w:rPr>
            <w:rStyle w:val="Collegamentoipertestuale"/>
            <w:rFonts w:ascii="Verdana" w:hAnsi="Verdana"/>
            <w:i/>
            <w:iCs/>
            <w:color w:val="auto"/>
            <w:sz w:val="20"/>
            <w:u w:val="none"/>
          </w:rPr>
          <w:t>articolo 1, comma 2, del decreto legislativo 30 marzo 2001, n. 165</w:t>
        </w:r>
      </w:hyperlink>
      <w:r w:rsidR="00E671A1" w:rsidRPr="00E671A1">
        <w:rPr>
          <w:rFonts w:ascii="Verdana" w:hAnsi="Verdana"/>
          <w:i/>
          <w:sz w:val="20"/>
        </w:rPr>
        <w:t>, non può superare il corrispondente importo dell'anno 2010 ed è, comunque, automaticamente ridotto in misura proporzionale alla riduzione del personale in servizio. A decorrere dal 1° gennaio 2015, le risorse destinate annualmente al trattamento economico accessorio sono decurtate di un importo pari alle riduzioni operate per</w:t>
      </w:r>
      <w:r w:rsidR="00F32C04">
        <w:rPr>
          <w:rFonts w:ascii="Verdana" w:hAnsi="Verdana"/>
          <w:i/>
          <w:sz w:val="20"/>
        </w:rPr>
        <w:t xml:space="preserve"> effetto del precedente periodo</w:t>
      </w:r>
      <w:r w:rsidR="00E671A1" w:rsidRPr="00E671A1">
        <w:rPr>
          <w:rFonts w:ascii="Verdana" w:hAnsi="Verdana"/>
          <w:i/>
          <w:sz w:val="20"/>
        </w:rPr>
        <w:t>”</w:t>
      </w:r>
      <w:r w:rsidR="00E671A1">
        <w:rPr>
          <w:rFonts w:ascii="Verdana" w:hAnsi="Verdana"/>
          <w:i/>
          <w:sz w:val="20"/>
        </w:rPr>
        <w:t>.</w:t>
      </w:r>
    </w:p>
    <w:p w:rsidR="00E671A1" w:rsidRDefault="00C40ECE" w:rsidP="00DA6A4C">
      <w:pPr>
        <w:pStyle w:val="Corpotesto"/>
        <w:widowControl w:val="0"/>
        <w:spacing w:line="568" w:lineRule="exact"/>
        <w:ind w:firstLine="539"/>
        <w:rPr>
          <w:rFonts w:ascii="Verdana" w:hAnsi="Verdana"/>
          <w:sz w:val="20"/>
        </w:rPr>
      </w:pPr>
      <w:r>
        <w:rPr>
          <w:rFonts w:ascii="Verdana" w:hAnsi="Verdana"/>
          <w:sz w:val="20"/>
        </w:rPr>
        <w:t>I</w:t>
      </w:r>
      <w:r w:rsidR="00E671A1">
        <w:rPr>
          <w:rFonts w:ascii="Verdana" w:hAnsi="Verdana"/>
          <w:sz w:val="20"/>
        </w:rPr>
        <w:t>n particolare,</w:t>
      </w:r>
      <w:r>
        <w:rPr>
          <w:rFonts w:ascii="Verdana" w:hAnsi="Verdana"/>
          <w:sz w:val="20"/>
        </w:rPr>
        <w:t xml:space="preserve"> il quesito viene sollevato in merito alla interpretazione da dare all’ultimo periodo del novellato comma: in sintesi, se con esso il legislatore abbia inteso consolidare l’ultima decurtazione effettuata (quella del 2014) o, come già affermato dalla Sezione regionale di controllo per la Puglia (del</w:t>
      </w:r>
      <w:r w:rsidR="006861C2">
        <w:rPr>
          <w:rFonts w:ascii="Verdana" w:hAnsi="Verdana"/>
          <w:sz w:val="20"/>
        </w:rPr>
        <w:t>iberazione</w:t>
      </w:r>
      <w:r>
        <w:rPr>
          <w:rFonts w:ascii="Verdana" w:hAnsi="Verdana"/>
          <w:sz w:val="20"/>
        </w:rPr>
        <w:t xml:space="preserve"> </w:t>
      </w:r>
      <w:r w:rsidR="006861C2">
        <w:rPr>
          <w:rFonts w:ascii="Verdana" w:hAnsi="Verdana"/>
          <w:sz w:val="20"/>
        </w:rPr>
        <w:t xml:space="preserve">                              </w:t>
      </w:r>
      <w:r>
        <w:rPr>
          <w:rFonts w:ascii="Verdana" w:hAnsi="Verdana"/>
          <w:sz w:val="20"/>
        </w:rPr>
        <w:t>n. 97/PAR/2015), la somma di tutte le riduzioni operate dal 2011 al 2014.</w:t>
      </w:r>
    </w:p>
    <w:p w:rsidR="004036DF" w:rsidRPr="009B5D0F" w:rsidRDefault="004036DF" w:rsidP="00245E8D">
      <w:pPr>
        <w:widowControl w:val="0"/>
        <w:spacing w:after="0" w:line="567" w:lineRule="exact"/>
        <w:ind w:firstLine="539"/>
        <w:jc w:val="center"/>
        <w:rPr>
          <w:rFonts w:ascii="Verdana" w:hAnsi="Verdana"/>
          <w:b/>
          <w:sz w:val="20"/>
          <w:szCs w:val="20"/>
        </w:rPr>
      </w:pPr>
      <w:r w:rsidRPr="009B5D0F">
        <w:rPr>
          <w:rFonts w:ascii="Verdana" w:hAnsi="Verdana"/>
          <w:b/>
          <w:sz w:val="20"/>
          <w:szCs w:val="20"/>
        </w:rPr>
        <w:t>IN VIA PRELIMINARE</w:t>
      </w:r>
    </w:p>
    <w:p w:rsidR="004036DF" w:rsidRDefault="004036DF" w:rsidP="00DA6A4C">
      <w:pPr>
        <w:pStyle w:val="Corpotesto"/>
        <w:widowControl w:val="0"/>
        <w:spacing w:line="568" w:lineRule="exact"/>
        <w:ind w:firstLine="539"/>
        <w:rPr>
          <w:rFonts w:ascii="Verdana" w:hAnsi="Verdana" w:cs="Tahoma"/>
          <w:sz w:val="20"/>
        </w:rPr>
      </w:pPr>
      <w:r w:rsidRPr="009B5D0F">
        <w:rPr>
          <w:rFonts w:ascii="Verdana" w:hAnsi="Verdana"/>
          <w:sz w:val="20"/>
        </w:rPr>
        <w:t>La richiesta di parer</w:t>
      </w:r>
      <w:r w:rsidR="00600659">
        <w:rPr>
          <w:rFonts w:ascii="Verdana" w:hAnsi="Verdana"/>
          <w:sz w:val="20"/>
        </w:rPr>
        <w:t>e, presentata ai sensi dell’articolo 7, comma 8, della l</w:t>
      </w:r>
      <w:r w:rsidRPr="009B5D0F">
        <w:rPr>
          <w:rFonts w:ascii="Verdana" w:hAnsi="Verdana"/>
          <w:sz w:val="20"/>
        </w:rPr>
        <w:t>egge 5 giugno 2003, n. 131, recante:</w:t>
      </w:r>
      <w:r w:rsidRPr="0069040F">
        <w:rPr>
          <w:rFonts w:ascii="Verdana" w:hAnsi="Verdana" w:cs="Tahoma"/>
          <w:sz w:val="20"/>
        </w:rPr>
        <w:t xml:space="preserve"> </w:t>
      </w:r>
      <w:r w:rsidRPr="0069040F">
        <w:rPr>
          <w:rFonts w:ascii="Verdana" w:hAnsi="Verdana" w:cs="Tahoma"/>
          <w:i/>
          <w:sz w:val="20"/>
        </w:rPr>
        <w:t xml:space="preserve">“Disposizioni per l’adeguamento dell’ordinamento della Repubblica alla Legge costituzionale 18 ottobre 2001, n. </w:t>
      </w:r>
      <w:smartTag w:uri="urn:schemas-microsoft-com:office:smarttags" w:element="metricconverter">
        <w:smartTagPr>
          <w:attr w:name="ProductID" w:val="3”"/>
        </w:smartTagPr>
        <w:r w:rsidRPr="0069040F">
          <w:rPr>
            <w:rFonts w:ascii="Verdana" w:hAnsi="Verdana" w:cs="Tahoma"/>
            <w:i/>
            <w:sz w:val="20"/>
          </w:rPr>
          <w:t>3</w:t>
        </w:r>
        <w:r w:rsidRPr="0069040F">
          <w:rPr>
            <w:rFonts w:ascii="Verdana" w:hAnsi="Verdana" w:cs="Tahoma"/>
            <w:sz w:val="20"/>
          </w:rPr>
          <w:t>”</w:t>
        </w:r>
      </w:smartTag>
      <w:r w:rsidRPr="0069040F">
        <w:rPr>
          <w:rFonts w:ascii="Verdana" w:hAnsi="Verdana" w:cs="Tahoma"/>
          <w:sz w:val="20"/>
        </w:rPr>
        <w:t>, risulta ritualmente formulata, in quanto proveniente</w:t>
      </w:r>
      <w:r w:rsidRPr="00076DF6">
        <w:rPr>
          <w:rFonts w:ascii="Verdana" w:hAnsi="Verdana" w:cs="Tahoma"/>
          <w:sz w:val="20"/>
        </w:rPr>
        <w:t xml:space="preserve"> dal Presidente del Consiglio della Regione Abruzzo.</w:t>
      </w:r>
    </w:p>
    <w:p w:rsidR="004036DF" w:rsidRDefault="004036DF" w:rsidP="00DA6A4C">
      <w:pPr>
        <w:pStyle w:val="Corpotesto"/>
        <w:widowControl w:val="0"/>
        <w:spacing w:line="568" w:lineRule="exact"/>
        <w:ind w:firstLine="539"/>
        <w:rPr>
          <w:rFonts w:ascii="Verdana" w:hAnsi="Verdana" w:cs="Tahoma"/>
          <w:sz w:val="20"/>
        </w:rPr>
      </w:pPr>
      <w:r w:rsidRPr="00DA6A4C">
        <w:rPr>
          <w:rFonts w:ascii="Verdana" w:hAnsi="Verdana"/>
          <w:sz w:val="20"/>
        </w:rPr>
        <w:lastRenderedPageBreak/>
        <w:t>Facendo</w:t>
      </w:r>
      <w:r>
        <w:rPr>
          <w:rFonts w:ascii="Verdana" w:hAnsi="Verdana" w:cs="Tahoma"/>
          <w:sz w:val="20"/>
        </w:rPr>
        <w:t xml:space="preserve"> riferimento all’ormai noto documento adottato nell’adunanza del 27 aprile 2004 dalla Sezione delle Autonomie </w:t>
      </w:r>
      <w:r w:rsidR="006861C2">
        <w:rPr>
          <w:rFonts w:ascii="Verdana" w:hAnsi="Verdana" w:cs="Tahoma"/>
          <w:sz w:val="20"/>
        </w:rPr>
        <w:t>–</w:t>
      </w:r>
      <w:r>
        <w:rPr>
          <w:rFonts w:ascii="Verdana" w:hAnsi="Verdana" w:cs="Tahoma"/>
          <w:sz w:val="20"/>
        </w:rPr>
        <w:t xml:space="preserve"> modificato</w:t>
      </w:r>
      <w:r w:rsidR="006861C2">
        <w:rPr>
          <w:rFonts w:ascii="Verdana" w:hAnsi="Verdana" w:cs="Tahoma"/>
          <w:sz w:val="20"/>
        </w:rPr>
        <w:t>,</w:t>
      </w:r>
      <w:r>
        <w:rPr>
          <w:rFonts w:ascii="Verdana" w:hAnsi="Verdana" w:cs="Tahoma"/>
          <w:sz w:val="20"/>
        </w:rPr>
        <w:t xml:space="preserve"> solo per gli aspetti procedurali</w:t>
      </w:r>
      <w:r w:rsidR="006861C2">
        <w:rPr>
          <w:rFonts w:ascii="Verdana" w:hAnsi="Verdana" w:cs="Tahoma"/>
          <w:sz w:val="20"/>
        </w:rPr>
        <w:t>,</w:t>
      </w:r>
      <w:r>
        <w:rPr>
          <w:rFonts w:ascii="Verdana" w:hAnsi="Verdana" w:cs="Tahoma"/>
          <w:sz w:val="20"/>
        </w:rPr>
        <w:t xml:space="preserve"> dalla </w:t>
      </w:r>
      <w:r w:rsidR="001A7B61">
        <w:rPr>
          <w:rFonts w:ascii="Verdana" w:hAnsi="Verdana" w:cs="Tahoma"/>
          <w:sz w:val="20"/>
        </w:rPr>
        <w:t>d</w:t>
      </w:r>
      <w:r>
        <w:rPr>
          <w:rFonts w:ascii="Verdana" w:hAnsi="Verdana" w:cs="Tahoma"/>
          <w:sz w:val="20"/>
        </w:rPr>
        <w:t>eliberazione n. 9, adottata dalla Sezione medesima in data 4 giugno 2009 -, con il quale sono stati dettati i criteri atti a garantire l’uniformità di indirizzo di tutte le Sezioni regionali di controllo nello svolgimento della funzione consultiva, la richiesta di parere va esaminata preliminarmente per accertare la sussistenza dei requisiti di ammissibilità sotto il profilo sia soggettivo che oggettivo.</w:t>
      </w:r>
    </w:p>
    <w:p w:rsidR="004036DF" w:rsidRPr="009F22CA" w:rsidRDefault="004036DF" w:rsidP="00DA6A4C">
      <w:pPr>
        <w:pStyle w:val="Rientrocorpodeltesto2"/>
        <w:spacing w:line="567" w:lineRule="atLeast"/>
        <w:ind w:firstLine="284"/>
        <w:rPr>
          <w:rFonts w:ascii="Verdana" w:hAnsi="Verdana" w:cs="Tahoma"/>
          <w:sz w:val="20"/>
          <w:u w:val="single"/>
        </w:rPr>
      </w:pPr>
      <w:r w:rsidRPr="009F22CA">
        <w:rPr>
          <w:rFonts w:ascii="Verdana" w:hAnsi="Verdana" w:cs="Tahoma"/>
          <w:sz w:val="20"/>
        </w:rPr>
        <w:t xml:space="preserve">1) </w:t>
      </w:r>
      <w:r w:rsidR="00952CE6" w:rsidRPr="00952CE6">
        <w:rPr>
          <w:rFonts w:ascii="Verdana" w:hAnsi="Verdana" w:cs="Tahoma"/>
          <w:sz w:val="20"/>
        </w:rPr>
        <w:t>REQUISITO SOGGETTIVO</w:t>
      </w:r>
      <w:r w:rsidRPr="00952CE6">
        <w:rPr>
          <w:rFonts w:ascii="Verdana" w:hAnsi="Verdana" w:cs="Tahoma"/>
          <w:sz w:val="20"/>
        </w:rPr>
        <w:t>:</w:t>
      </w:r>
    </w:p>
    <w:p w:rsidR="004036DF" w:rsidRPr="00C4796C" w:rsidRDefault="004036DF" w:rsidP="00DA6A4C">
      <w:pPr>
        <w:pStyle w:val="Corpotesto"/>
        <w:widowControl w:val="0"/>
        <w:spacing w:line="568" w:lineRule="exact"/>
        <w:ind w:firstLine="539"/>
        <w:rPr>
          <w:rFonts w:ascii="Verdana" w:hAnsi="Verdana" w:cs="Tahoma"/>
          <w:sz w:val="20"/>
        </w:rPr>
      </w:pPr>
      <w:r w:rsidRPr="00DA6A4C">
        <w:rPr>
          <w:rFonts w:ascii="Verdana" w:hAnsi="Verdana"/>
          <w:sz w:val="20"/>
        </w:rPr>
        <w:t>La</w:t>
      </w:r>
      <w:r w:rsidRPr="00C4796C">
        <w:rPr>
          <w:rFonts w:ascii="Verdana" w:hAnsi="Verdana" w:cs="Tahoma"/>
          <w:sz w:val="20"/>
        </w:rPr>
        <w:t xml:space="preserve"> legittimazione a richiedere pareri è circoscritta ai soli Enti previsti dalla legge n. 131/</w:t>
      </w:r>
      <w:r w:rsidR="001A7B61">
        <w:rPr>
          <w:rFonts w:ascii="Verdana" w:hAnsi="Verdana" w:cs="Tahoma"/>
          <w:sz w:val="20"/>
        </w:rPr>
        <w:t>20</w:t>
      </w:r>
      <w:r w:rsidRPr="00C4796C">
        <w:rPr>
          <w:rFonts w:ascii="Verdana" w:hAnsi="Verdana" w:cs="Tahoma"/>
          <w:sz w:val="20"/>
        </w:rPr>
        <w:t>03, stante la natura speciale della funzione consultiva introdotta dalla medesima legge, rispetto all</w:t>
      </w:r>
      <w:r>
        <w:rPr>
          <w:rFonts w:ascii="Verdana" w:hAnsi="Verdana" w:cs="Tahoma"/>
          <w:sz w:val="20"/>
        </w:rPr>
        <w:t>’</w:t>
      </w:r>
      <w:r w:rsidRPr="00C4796C">
        <w:rPr>
          <w:rFonts w:ascii="Verdana" w:hAnsi="Verdana" w:cs="Tahoma"/>
          <w:sz w:val="20"/>
        </w:rPr>
        <w:t>ordinaria sfera di competenze della Corte.</w:t>
      </w:r>
    </w:p>
    <w:p w:rsidR="004036DF" w:rsidRPr="00C4796C" w:rsidRDefault="004036DF" w:rsidP="00DA6A4C">
      <w:pPr>
        <w:pStyle w:val="Corpotesto"/>
        <w:widowControl w:val="0"/>
        <w:spacing w:line="568" w:lineRule="exact"/>
        <w:ind w:firstLine="539"/>
        <w:rPr>
          <w:rFonts w:ascii="Verdana" w:hAnsi="Verdana" w:cs="Tahoma"/>
          <w:sz w:val="20"/>
        </w:rPr>
      </w:pPr>
      <w:r w:rsidRPr="00C4796C">
        <w:rPr>
          <w:rFonts w:ascii="Verdana" w:hAnsi="Verdana" w:cs="Tahoma"/>
          <w:sz w:val="20"/>
        </w:rPr>
        <w:t xml:space="preserve">Nel caso in esame </w:t>
      </w:r>
      <w:r>
        <w:rPr>
          <w:rFonts w:ascii="Verdana" w:hAnsi="Verdana" w:cs="Tahoma"/>
          <w:sz w:val="20"/>
        </w:rPr>
        <w:t>nessun dubbio sussiste circa la l</w:t>
      </w:r>
      <w:r w:rsidRPr="00C4796C">
        <w:rPr>
          <w:rFonts w:ascii="Verdana" w:hAnsi="Verdana" w:cs="Tahoma"/>
          <w:sz w:val="20"/>
        </w:rPr>
        <w:t>egittimazione del soggetto richiedente, provenendo dall’organo rappresentativo dell’Ente.</w:t>
      </w:r>
    </w:p>
    <w:p w:rsidR="004036DF" w:rsidRPr="00C4796C" w:rsidRDefault="004036DF" w:rsidP="00DA6A4C">
      <w:pPr>
        <w:pStyle w:val="Corpotesto"/>
        <w:widowControl w:val="0"/>
        <w:spacing w:line="568" w:lineRule="exact"/>
        <w:ind w:firstLine="539"/>
        <w:rPr>
          <w:rFonts w:ascii="Verdana" w:hAnsi="Verdana" w:cs="Tahoma"/>
          <w:sz w:val="20"/>
        </w:rPr>
      </w:pPr>
      <w:r w:rsidRPr="00C4796C">
        <w:rPr>
          <w:rFonts w:ascii="Verdana" w:hAnsi="Verdana" w:cs="Tahoma"/>
          <w:sz w:val="20"/>
        </w:rPr>
        <w:t>Sotto il profilo soggettivo, dunque, la richiesta di parere si palesa ammissibile.</w:t>
      </w:r>
    </w:p>
    <w:p w:rsidR="004036DF" w:rsidRPr="00952CE6" w:rsidRDefault="004036DF" w:rsidP="00DA6A4C">
      <w:pPr>
        <w:pStyle w:val="Rientrocorpodeltesto2"/>
        <w:spacing w:line="567" w:lineRule="atLeast"/>
        <w:ind w:firstLine="284"/>
        <w:rPr>
          <w:rFonts w:ascii="Verdana" w:hAnsi="Verdana" w:cs="Tahoma"/>
          <w:sz w:val="20"/>
        </w:rPr>
      </w:pPr>
      <w:r w:rsidRPr="00C4796C">
        <w:rPr>
          <w:rFonts w:ascii="Verdana" w:hAnsi="Verdana" w:cs="Tahoma"/>
          <w:sz w:val="20"/>
        </w:rPr>
        <w:t xml:space="preserve">2) </w:t>
      </w:r>
      <w:r w:rsidR="00952CE6" w:rsidRPr="00952CE6">
        <w:rPr>
          <w:rFonts w:ascii="Verdana" w:hAnsi="Verdana" w:cs="Tahoma"/>
          <w:sz w:val="20"/>
        </w:rPr>
        <w:t>REQUISITO OGGETTIVO</w:t>
      </w:r>
      <w:r w:rsidRPr="00952CE6">
        <w:rPr>
          <w:rFonts w:ascii="Verdana" w:hAnsi="Verdana" w:cs="Tahoma"/>
          <w:sz w:val="20"/>
        </w:rPr>
        <w:t>:</w:t>
      </w:r>
    </w:p>
    <w:p w:rsidR="004036DF" w:rsidRPr="00C4796C" w:rsidRDefault="0044522C" w:rsidP="00DA6A4C">
      <w:pPr>
        <w:pStyle w:val="Corpotesto"/>
        <w:widowControl w:val="0"/>
        <w:spacing w:line="568" w:lineRule="exact"/>
        <w:ind w:firstLine="539"/>
        <w:rPr>
          <w:rFonts w:ascii="Verdana" w:hAnsi="Verdana" w:cs="Tahoma"/>
          <w:sz w:val="20"/>
        </w:rPr>
      </w:pPr>
      <w:r>
        <w:rPr>
          <w:rFonts w:ascii="Verdana" w:hAnsi="Verdana" w:cs="Tahoma"/>
          <w:sz w:val="20"/>
        </w:rPr>
        <w:t xml:space="preserve">Il rilascio di </w:t>
      </w:r>
      <w:r w:rsidR="004036DF" w:rsidRPr="00C4796C">
        <w:rPr>
          <w:rFonts w:ascii="Verdana" w:hAnsi="Verdana" w:cs="Tahoma"/>
          <w:sz w:val="20"/>
        </w:rPr>
        <w:t xml:space="preserve">pareri </w:t>
      </w:r>
      <w:r>
        <w:rPr>
          <w:rFonts w:ascii="Verdana" w:hAnsi="Verdana" w:cs="Tahoma"/>
          <w:sz w:val="20"/>
        </w:rPr>
        <w:t xml:space="preserve">è </w:t>
      </w:r>
      <w:r w:rsidR="004036DF" w:rsidRPr="00C4796C">
        <w:rPr>
          <w:rFonts w:ascii="Verdana" w:hAnsi="Verdana" w:cs="Tahoma"/>
          <w:sz w:val="20"/>
        </w:rPr>
        <w:t>pre</w:t>
      </w:r>
      <w:r w:rsidR="001A7B61">
        <w:rPr>
          <w:rFonts w:ascii="Verdana" w:hAnsi="Verdana" w:cs="Tahoma"/>
          <w:sz w:val="20"/>
        </w:rPr>
        <w:t>vist</w:t>
      </w:r>
      <w:r>
        <w:rPr>
          <w:rFonts w:ascii="Verdana" w:hAnsi="Verdana" w:cs="Tahoma"/>
          <w:sz w:val="20"/>
        </w:rPr>
        <w:t>o</w:t>
      </w:r>
      <w:r w:rsidR="001A7B61">
        <w:rPr>
          <w:rFonts w:ascii="Verdana" w:hAnsi="Verdana" w:cs="Tahoma"/>
          <w:sz w:val="20"/>
        </w:rPr>
        <w:t xml:space="preserve"> dalla citata legge n. 131/</w:t>
      </w:r>
      <w:r w:rsidR="004036DF" w:rsidRPr="00C4796C">
        <w:rPr>
          <w:rFonts w:ascii="Verdana" w:hAnsi="Verdana" w:cs="Tahoma"/>
          <w:sz w:val="20"/>
        </w:rPr>
        <w:t xml:space="preserve">2003, esclusivamente nella materia della </w:t>
      </w:r>
      <w:r w:rsidR="004036DF" w:rsidRPr="002A1530">
        <w:rPr>
          <w:rFonts w:ascii="Verdana" w:hAnsi="Verdana" w:cs="Tahoma"/>
          <w:i/>
          <w:sz w:val="20"/>
        </w:rPr>
        <w:t>“contabilità pubblica”.</w:t>
      </w:r>
    </w:p>
    <w:p w:rsidR="004036DF" w:rsidRDefault="004036DF" w:rsidP="00DA6A4C">
      <w:pPr>
        <w:pStyle w:val="Corpotesto"/>
        <w:widowControl w:val="0"/>
        <w:spacing w:line="568" w:lineRule="exact"/>
        <w:ind w:firstLine="539"/>
        <w:rPr>
          <w:rFonts w:ascii="Verdana" w:hAnsi="Verdana" w:cs="Tahoma"/>
          <w:i/>
          <w:sz w:val="20"/>
        </w:rPr>
      </w:pPr>
      <w:r w:rsidRPr="00C4796C">
        <w:rPr>
          <w:rFonts w:ascii="Verdana" w:hAnsi="Verdana" w:cs="Tahoma"/>
          <w:sz w:val="20"/>
        </w:rPr>
        <w:t xml:space="preserve">L’ambito oggettivo di tale locuzione - in conformità a quanto </w:t>
      </w:r>
      <w:r w:rsidRPr="00C4796C">
        <w:rPr>
          <w:rFonts w:ascii="Verdana" w:hAnsi="Verdana" w:cs="Tahoma"/>
          <w:sz w:val="20"/>
        </w:rPr>
        <w:lastRenderedPageBreak/>
        <w:t>stabilito dalla Sezione delle</w:t>
      </w:r>
      <w:r>
        <w:rPr>
          <w:rFonts w:ascii="Verdana" w:hAnsi="Verdana" w:cs="Tahoma"/>
          <w:sz w:val="20"/>
        </w:rPr>
        <w:t xml:space="preserve"> Autonomie nel predetto atto d’</w:t>
      </w:r>
      <w:r w:rsidRPr="00C4796C">
        <w:rPr>
          <w:rFonts w:ascii="Verdana" w:hAnsi="Verdana" w:cs="Tahoma"/>
          <w:sz w:val="20"/>
        </w:rPr>
        <w:t xml:space="preserve">indirizzo del 27 aprile 2004, </w:t>
      </w:r>
      <w:r w:rsidR="0069040F">
        <w:rPr>
          <w:rFonts w:ascii="Verdana" w:hAnsi="Verdana"/>
          <w:sz w:val="20"/>
        </w:rPr>
        <w:t xml:space="preserve">successivamente integrato e modificato con la deliberazione 10 marzo 2006, n. 5, e ulteriormente specificato dalle Sezioni riunite della Corte in sede di controllo, con la delibera 17 novembre 2010, n. 54, </w:t>
      </w:r>
      <w:r w:rsidRPr="00C4796C">
        <w:rPr>
          <w:rFonts w:ascii="Verdana" w:hAnsi="Verdana" w:cs="Tahoma"/>
          <w:sz w:val="20"/>
        </w:rPr>
        <w:t xml:space="preserve">nonché dalla giurisprudenza delle Sezioni regionali di controllo (ivi compresa </w:t>
      </w:r>
      <w:smartTag w:uri="urn:schemas-microsoft-com:office:smarttags" w:element="PersonName">
        <w:smartTagPr>
          <w:attr w:name="ProductID" w:val="la Sezione Abruzzo"/>
        </w:smartTagPr>
        <w:r w:rsidRPr="00C4796C">
          <w:rPr>
            <w:rFonts w:ascii="Verdana" w:hAnsi="Verdana" w:cs="Tahoma"/>
            <w:sz w:val="20"/>
          </w:rPr>
          <w:t>la Sezione Abruzzo</w:t>
        </w:r>
      </w:smartTag>
      <w:r w:rsidRPr="00C4796C">
        <w:rPr>
          <w:rFonts w:ascii="Verdana" w:hAnsi="Verdana" w:cs="Tahoma"/>
          <w:sz w:val="20"/>
        </w:rPr>
        <w:t xml:space="preserve">) - deve ritenersi riferito alla </w:t>
      </w:r>
      <w:r w:rsidRPr="009F22CA">
        <w:rPr>
          <w:rFonts w:ascii="Verdana" w:hAnsi="Verdana" w:cs="Tahoma"/>
          <w:i/>
          <w:sz w:val="20"/>
        </w:rPr>
        <w:t>“attività finanziaria che precede o che segue i distinti interventi di settore, ricomprendendo, in particolare, la disciplina dei bilanci e i relativi equilibri, l’acquisizione delle entrate, l’organizzazione finanziaria-contabile, la disciplina del patrimonio, la gestione delle spese, l’indebitamento, la rendicontazione e i relativi controlli”.</w:t>
      </w:r>
    </w:p>
    <w:p w:rsidR="004036DF" w:rsidRDefault="004036DF" w:rsidP="00DA6A4C">
      <w:pPr>
        <w:pStyle w:val="Corpotesto"/>
        <w:widowControl w:val="0"/>
        <w:spacing w:line="568" w:lineRule="exact"/>
        <w:ind w:firstLine="539"/>
        <w:rPr>
          <w:rFonts w:ascii="Verdana" w:hAnsi="Verdana" w:cs="Tahoma"/>
          <w:sz w:val="20"/>
        </w:rPr>
      </w:pPr>
      <w:r>
        <w:rPr>
          <w:rFonts w:ascii="Verdana" w:hAnsi="Verdana" w:cs="Tahoma"/>
          <w:sz w:val="20"/>
        </w:rPr>
        <w:t xml:space="preserve">La funzione consultiva non deve, inoltre, rivolgersi a quesiti che implichino valutazioni di comportamenti amministrativi oggetto di eventuali iniziative giudiziarie proprie della Procura regionale della Corte dei conti o di altri giudici. Ciò al fine di evitare che i pareri stessi prefigurino soluzioni non conciliabili con successive pronunce, sia della Sezione giurisdizionale che della stessa Sezione di controllo. </w:t>
      </w:r>
    </w:p>
    <w:p w:rsidR="004036DF" w:rsidRPr="003E403A" w:rsidRDefault="004036DF" w:rsidP="00DA6A4C">
      <w:pPr>
        <w:pStyle w:val="Corpotesto"/>
        <w:widowControl w:val="0"/>
        <w:spacing w:line="568" w:lineRule="exact"/>
        <w:ind w:firstLine="539"/>
        <w:rPr>
          <w:rFonts w:ascii="Verdana" w:hAnsi="Verdana" w:cs="Tahoma"/>
          <w:sz w:val="20"/>
        </w:rPr>
      </w:pPr>
      <w:r w:rsidRPr="003E403A">
        <w:rPr>
          <w:rFonts w:ascii="Verdana" w:hAnsi="Verdana" w:cs="Tahoma"/>
          <w:sz w:val="20"/>
        </w:rPr>
        <w:t xml:space="preserve">Da ultimo, </w:t>
      </w:r>
      <w:smartTag w:uri="urn:schemas-microsoft-com:office:smarttags" w:element="PersonName">
        <w:smartTagPr>
          <w:attr w:name="ProductID" w:val="la Sezione"/>
        </w:smartTagPr>
        <w:r w:rsidRPr="003E403A">
          <w:rPr>
            <w:rFonts w:ascii="Verdana" w:hAnsi="Verdana" w:cs="Tahoma"/>
            <w:sz w:val="20"/>
          </w:rPr>
          <w:t>la Sezione</w:t>
        </w:r>
      </w:smartTag>
      <w:r w:rsidRPr="003E403A">
        <w:rPr>
          <w:rFonts w:ascii="Verdana" w:hAnsi="Verdana" w:cs="Tahoma"/>
          <w:sz w:val="20"/>
        </w:rPr>
        <w:t xml:space="preserve"> delle Autonomie, con la citata deliberazione n.</w:t>
      </w:r>
      <w:r>
        <w:rPr>
          <w:rFonts w:ascii="Verdana" w:hAnsi="Verdana" w:cs="Tahoma"/>
          <w:sz w:val="20"/>
        </w:rPr>
        <w:t xml:space="preserve"> </w:t>
      </w:r>
      <w:r w:rsidRPr="003E403A">
        <w:rPr>
          <w:rFonts w:ascii="Verdana" w:hAnsi="Verdana" w:cs="Tahoma"/>
          <w:sz w:val="20"/>
        </w:rPr>
        <w:t xml:space="preserve">9/2009, ha confermato la </w:t>
      </w:r>
      <w:r w:rsidRPr="002A1530">
        <w:rPr>
          <w:rFonts w:ascii="Verdana" w:hAnsi="Verdana" w:cs="Tahoma"/>
          <w:i/>
          <w:sz w:val="20"/>
        </w:rPr>
        <w:t>“competenza esclusiva”</w:t>
      </w:r>
      <w:r w:rsidRPr="003E403A">
        <w:rPr>
          <w:rFonts w:ascii="Verdana" w:hAnsi="Verdana" w:cs="Tahoma"/>
          <w:sz w:val="20"/>
        </w:rPr>
        <w:t xml:space="preserve"> delle Sezioni regionali di controllo nella funzione consultiva prevista dalla legge </w:t>
      </w:r>
      <w:r w:rsidR="001A7B61">
        <w:rPr>
          <w:rFonts w:ascii="Verdana" w:hAnsi="Verdana" w:cs="Tahoma"/>
          <w:sz w:val="20"/>
        </w:rPr>
        <w:t xml:space="preserve">       </w:t>
      </w:r>
      <w:r w:rsidRPr="003E403A">
        <w:rPr>
          <w:rFonts w:ascii="Verdana" w:hAnsi="Verdana" w:cs="Tahoma"/>
          <w:sz w:val="20"/>
        </w:rPr>
        <w:t>n. 131/2003.</w:t>
      </w:r>
    </w:p>
    <w:p w:rsidR="004036DF" w:rsidRDefault="004036DF" w:rsidP="00DA6A4C">
      <w:pPr>
        <w:pStyle w:val="Corpotesto"/>
        <w:widowControl w:val="0"/>
        <w:spacing w:line="568" w:lineRule="exact"/>
        <w:ind w:firstLine="539"/>
        <w:rPr>
          <w:rFonts w:ascii="Verdana" w:hAnsi="Verdana" w:cs="Tahoma"/>
          <w:i/>
          <w:sz w:val="20"/>
        </w:rPr>
      </w:pPr>
      <w:r w:rsidRPr="003E403A">
        <w:rPr>
          <w:rFonts w:ascii="Verdana" w:hAnsi="Verdana" w:cs="Tahoma"/>
          <w:sz w:val="20"/>
        </w:rPr>
        <w:t>Unica limitazione è la libera valutazione, da parte della Sezione regionale medesima, che il caso prospettato “</w:t>
      </w:r>
      <w:r w:rsidRPr="003E403A">
        <w:rPr>
          <w:rFonts w:ascii="Verdana" w:hAnsi="Verdana" w:cs="Tahoma"/>
          <w:i/>
          <w:sz w:val="20"/>
        </w:rPr>
        <w:t xml:space="preserve">non concerna una </w:t>
      </w:r>
      <w:r w:rsidRPr="003E403A">
        <w:rPr>
          <w:rFonts w:ascii="Verdana" w:hAnsi="Verdana" w:cs="Tahoma"/>
          <w:i/>
          <w:sz w:val="20"/>
        </w:rPr>
        <w:lastRenderedPageBreak/>
        <w:t>questione pacificamente risolta e/o non sia contenibile in un ambito d’interesse puramente locale, dovendo, in tal caso, rimettere la questione in sede centrale”.</w:t>
      </w:r>
    </w:p>
    <w:p w:rsidR="004036DF" w:rsidRDefault="004036DF" w:rsidP="00DA6A4C">
      <w:pPr>
        <w:pStyle w:val="Corpotesto"/>
        <w:widowControl w:val="0"/>
        <w:spacing w:line="568" w:lineRule="exact"/>
        <w:ind w:firstLine="539"/>
        <w:rPr>
          <w:rFonts w:ascii="Verdana" w:hAnsi="Verdana"/>
          <w:sz w:val="20"/>
        </w:rPr>
      </w:pPr>
      <w:r w:rsidRPr="003E403A">
        <w:rPr>
          <w:rFonts w:ascii="Verdana" w:hAnsi="Verdana" w:cs="Tahoma"/>
          <w:sz w:val="20"/>
        </w:rPr>
        <w:t>Non ricorrendo nessuna delle ipotesi prospettate,</w:t>
      </w:r>
      <w:r w:rsidRPr="003E403A">
        <w:rPr>
          <w:rFonts w:ascii="Verdana" w:hAnsi="Verdana"/>
          <w:sz w:val="20"/>
        </w:rPr>
        <w:t xml:space="preserve"> la richiesta del Presidente del Consiglio della Regione Abruzzo, nei termini sopra esposti, va dichiarata ammissibile,</w:t>
      </w:r>
      <w:r w:rsidRPr="003E403A">
        <w:rPr>
          <w:rFonts w:ascii="Verdana" w:hAnsi="Verdana" w:cs="Tahoma"/>
          <w:sz w:val="20"/>
        </w:rPr>
        <w:t xml:space="preserve"> potendo questa Sezione pronunciarsi sulla medesima, “</w:t>
      </w:r>
      <w:r>
        <w:rPr>
          <w:rFonts w:ascii="Verdana" w:hAnsi="Verdana" w:cs="Tahoma"/>
          <w:i/>
          <w:sz w:val="20"/>
        </w:rPr>
        <w:t xml:space="preserve">garantendo l’uniformità di </w:t>
      </w:r>
      <w:r w:rsidRPr="003E403A">
        <w:rPr>
          <w:rFonts w:ascii="Verdana" w:hAnsi="Verdana" w:cs="Tahoma"/>
          <w:i/>
          <w:sz w:val="20"/>
        </w:rPr>
        <w:t>indirizzo e la ponderazione dialettica di tutti gli interessi coinvolti</w:t>
      </w:r>
      <w:r w:rsidR="006861C2">
        <w:rPr>
          <w:rFonts w:ascii="Verdana" w:hAnsi="Verdana" w:cs="Tahoma"/>
          <w:i/>
          <w:sz w:val="20"/>
        </w:rPr>
        <w:t>”</w:t>
      </w:r>
      <w:r w:rsidRPr="003E403A">
        <w:rPr>
          <w:rFonts w:ascii="Verdana" w:hAnsi="Verdana"/>
          <w:sz w:val="20"/>
        </w:rPr>
        <w:t>.</w:t>
      </w:r>
    </w:p>
    <w:p w:rsidR="004036DF" w:rsidRDefault="004036DF" w:rsidP="00DA6A4C">
      <w:pPr>
        <w:pStyle w:val="Corpotesto"/>
        <w:widowControl w:val="0"/>
        <w:spacing w:line="568" w:lineRule="exact"/>
        <w:ind w:firstLine="539"/>
        <w:rPr>
          <w:rFonts w:ascii="Verdana" w:hAnsi="Verdana"/>
          <w:sz w:val="20"/>
        </w:rPr>
      </w:pPr>
      <w:r w:rsidRPr="002447D9">
        <w:rPr>
          <w:rFonts w:ascii="Verdana" w:hAnsi="Verdana"/>
          <w:sz w:val="20"/>
        </w:rPr>
        <w:t xml:space="preserve">Con specifico riferimento alla richiesta oggetto della presente pronuncia, la Sezione osserva che la stessa </w:t>
      </w:r>
      <w:r>
        <w:rPr>
          <w:rFonts w:ascii="Verdana" w:hAnsi="Verdana"/>
          <w:sz w:val="20"/>
        </w:rPr>
        <w:t>attiene alla nozione di contabilità pubblica in quanto investe i vincoli legati alla spesa di personale. Il quesito è</w:t>
      </w:r>
      <w:r w:rsidR="006861C2">
        <w:rPr>
          <w:rFonts w:ascii="Verdana" w:hAnsi="Verdana"/>
          <w:sz w:val="20"/>
        </w:rPr>
        <w:t>,</w:t>
      </w:r>
      <w:r>
        <w:rPr>
          <w:rFonts w:ascii="Verdana" w:hAnsi="Verdana"/>
          <w:sz w:val="20"/>
        </w:rPr>
        <w:t xml:space="preserve"> inoltre</w:t>
      </w:r>
      <w:r w:rsidR="006861C2">
        <w:rPr>
          <w:rFonts w:ascii="Verdana" w:hAnsi="Verdana"/>
          <w:sz w:val="20"/>
        </w:rPr>
        <w:t>,</w:t>
      </w:r>
      <w:r>
        <w:rPr>
          <w:rFonts w:ascii="Verdana" w:hAnsi="Verdana"/>
          <w:sz w:val="20"/>
        </w:rPr>
        <w:t xml:space="preserve"> formulato in termini astratti e generali, essendo incentrato sull’interpretazione delle </w:t>
      </w:r>
      <w:r w:rsidR="0069040F">
        <w:rPr>
          <w:rFonts w:ascii="Verdana" w:hAnsi="Verdana"/>
          <w:sz w:val="20"/>
        </w:rPr>
        <w:t>novità normative introdotte dall’articolo 1</w:t>
      </w:r>
      <w:r w:rsidR="001A7B61">
        <w:rPr>
          <w:rFonts w:ascii="Verdana" w:hAnsi="Verdana"/>
          <w:sz w:val="20"/>
        </w:rPr>
        <w:t>,</w:t>
      </w:r>
      <w:r w:rsidR="0069040F">
        <w:rPr>
          <w:rFonts w:ascii="Verdana" w:hAnsi="Verdana"/>
          <w:sz w:val="20"/>
        </w:rPr>
        <w:t xml:space="preserve"> comma 456</w:t>
      </w:r>
      <w:r w:rsidR="001A7B61">
        <w:rPr>
          <w:rFonts w:ascii="Verdana" w:hAnsi="Verdana"/>
          <w:sz w:val="20"/>
        </w:rPr>
        <w:t>,</w:t>
      </w:r>
      <w:r w:rsidR="0069040F">
        <w:rPr>
          <w:rFonts w:ascii="Verdana" w:hAnsi="Verdana"/>
          <w:sz w:val="20"/>
        </w:rPr>
        <w:t xml:space="preserve"> della legge 27 dicembre 2013</w:t>
      </w:r>
      <w:r w:rsidR="001A7B61">
        <w:rPr>
          <w:rFonts w:ascii="Verdana" w:hAnsi="Verdana"/>
          <w:sz w:val="20"/>
        </w:rPr>
        <w:t>,</w:t>
      </w:r>
      <w:r w:rsidR="0069040F">
        <w:rPr>
          <w:rFonts w:ascii="Verdana" w:hAnsi="Verdana"/>
          <w:sz w:val="20"/>
        </w:rPr>
        <w:t xml:space="preserve"> n. 147, potendosi</w:t>
      </w:r>
      <w:r w:rsidR="006861C2">
        <w:rPr>
          <w:rFonts w:ascii="Verdana" w:hAnsi="Verdana"/>
          <w:sz w:val="20"/>
        </w:rPr>
        <w:t>,</w:t>
      </w:r>
      <w:r>
        <w:rPr>
          <w:rFonts w:ascii="Verdana" w:hAnsi="Verdana"/>
          <w:sz w:val="20"/>
        </w:rPr>
        <w:t xml:space="preserve"> quindi</w:t>
      </w:r>
      <w:r w:rsidR="006861C2">
        <w:rPr>
          <w:rFonts w:ascii="Verdana" w:hAnsi="Verdana"/>
          <w:sz w:val="20"/>
        </w:rPr>
        <w:t xml:space="preserve">, </w:t>
      </w:r>
      <w:r>
        <w:rPr>
          <w:rFonts w:ascii="Verdana" w:hAnsi="Verdana"/>
          <w:sz w:val="20"/>
        </w:rPr>
        <w:t>considera</w:t>
      </w:r>
      <w:r w:rsidR="0069040F">
        <w:rPr>
          <w:rFonts w:ascii="Verdana" w:hAnsi="Verdana"/>
          <w:sz w:val="20"/>
        </w:rPr>
        <w:t>re</w:t>
      </w:r>
      <w:r>
        <w:rPr>
          <w:rFonts w:ascii="Verdana" w:hAnsi="Verdana"/>
          <w:sz w:val="20"/>
        </w:rPr>
        <w:t xml:space="preserve"> ammissibile anche sotto il profilo oggettivo.</w:t>
      </w:r>
    </w:p>
    <w:p w:rsidR="00FE2232" w:rsidRPr="00421A55" w:rsidRDefault="00FE2232" w:rsidP="00245E8D">
      <w:pPr>
        <w:widowControl w:val="0"/>
        <w:spacing w:after="0" w:line="567" w:lineRule="exact"/>
        <w:ind w:firstLine="539"/>
        <w:jc w:val="center"/>
        <w:rPr>
          <w:rFonts w:ascii="Verdana" w:hAnsi="Verdana"/>
          <w:b/>
          <w:sz w:val="20"/>
          <w:szCs w:val="20"/>
        </w:rPr>
      </w:pPr>
      <w:r w:rsidRPr="00421A55">
        <w:rPr>
          <w:rFonts w:ascii="Verdana" w:hAnsi="Verdana"/>
          <w:b/>
          <w:sz w:val="20"/>
          <w:szCs w:val="20"/>
        </w:rPr>
        <w:t>MERITO</w:t>
      </w:r>
    </w:p>
    <w:p w:rsidR="00FE2232" w:rsidRDefault="00C65AB4" w:rsidP="00DA6A4C">
      <w:pPr>
        <w:pStyle w:val="Corpotesto"/>
        <w:widowControl w:val="0"/>
        <w:spacing w:line="568" w:lineRule="exact"/>
        <w:ind w:firstLine="539"/>
        <w:rPr>
          <w:rFonts w:ascii="Verdana" w:hAnsi="Verdana"/>
          <w:sz w:val="20"/>
        </w:rPr>
      </w:pPr>
      <w:r>
        <w:rPr>
          <w:rFonts w:ascii="Verdana" w:hAnsi="Verdana"/>
          <w:sz w:val="20"/>
        </w:rPr>
        <w:t xml:space="preserve">Come riferito in premessa, il quesito </w:t>
      </w:r>
      <w:r w:rsidR="00706C98">
        <w:rPr>
          <w:rFonts w:ascii="Verdana" w:hAnsi="Verdana"/>
          <w:sz w:val="20"/>
        </w:rPr>
        <w:t xml:space="preserve">concerne </w:t>
      </w:r>
      <w:r w:rsidR="00491CFB">
        <w:rPr>
          <w:rFonts w:ascii="Verdana" w:hAnsi="Verdana"/>
          <w:sz w:val="20"/>
        </w:rPr>
        <w:t>l’interpretazione da dare all’ultimo periodo del novellato comma: in sintesi, se con esso il legislatore abbia inteso consolidare l’ultima decurtazione effettuata (quella del 2014) o, come già affermato dalla Sezione regionale di controllo per la Puglia (del</w:t>
      </w:r>
      <w:r w:rsidR="008F4A18">
        <w:rPr>
          <w:rFonts w:ascii="Verdana" w:hAnsi="Verdana"/>
          <w:sz w:val="20"/>
        </w:rPr>
        <w:t xml:space="preserve">iberazione </w:t>
      </w:r>
      <w:r w:rsidR="00491CFB">
        <w:rPr>
          <w:rFonts w:ascii="Verdana" w:hAnsi="Verdana"/>
          <w:sz w:val="20"/>
        </w:rPr>
        <w:t>n. 97/PAR/2015), la somma di tutte le riduzioni operate dal 2011 al 2014.</w:t>
      </w:r>
    </w:p>
    <w:p w:rsidR="00491CFB" w:rsidRDefault="00491CFB" w:rsidP="00DA6A4C">
      <w:pPr>
        <w:pStyle w:val="Corpotesto"/>
        <w:widowControl w:val="0"/>
        <w:spacing w:line="568" w:lineRule="exact"/>
        <w:ind w:firstLine="539"/>
        <w:rPr>
          <w:rFonts w:ascii="Verdana" w:hAnsi="Verdana"/>
          <w:i/>
          <w:sz w:val="20"/>
        </w:rPr>
      </w:pPr>
      <w:r>
        <w:rPr>
          <w:rFonts w:ascii="Verdana" w:hAnsi="Verdana"/>
          <w:sz w:val="20"/>
        </w:rPr>
        <w:lastRenderedPageBreak/>
        <w:t>Il comma 456</w:t>
      </w:r>
      <w:r w:rsidR="00952CE6">
        <w:rPr>
          <w:rFonts w:ascii="Verdana" w:hAnsi="Verdana"/>
          <w:sz w:val="20"/>
        </w:rPr>
        <w:t>,</w:t>
      </w:r>
      <w:r>
        <w:rPr>
          <w:rFonts w:ascii="Verdana" w:hAnsi="Verdana"/>
          <w:sz w:val="20"/>
        </w:rPr>
        <w:t xml:space="preserve"> dell’articolo unico</w:t>
      </w:r>
      <w:r w:rsidR="00952CE6">
        <w:rPr>
          <w:rFonts w:ascii="Verdana" w:hAnsi="Verdana"/>
          <w:sz w:val="20"/>
        </w:rPr>
        <w:t>,</w:t>
      </w:r>
      <w:r>
        <w:rPr>
          <w:rFonts w:ascii="Verdana" w:hAnsi="Verdana"/>
          <w:sz w:val="20"/>
        </w:rPr>
        <w:t xml:space="preserve"> della legge 27 dicembre 2014,</w:t>
      </w:r>
      <w:r w:rsidR="00D17D34">
        <w:rPr>
          <w:rFonts w:ascii="Verdana" w:hAnsi="Verdana"/>
          <w:sz w:val="20"/>
        </w:rPr>
        <w:t xml:space="preserve">    </w:t>
      </w:r>
      <w:r>
        <w:rPr>
          <w:rFonts w:ascii="Verdana" w:hAnsi="Verdana"/>
          <w:sz w:val="20"/>
        </w:rPr>
        <w:t xml:space="preserve"> n. 147 (</w:t>
      </w:r>
      <w:r w:rsidR="001A7B61">
        <w:rPr>
          <w:rFonts w:ascii="Verdana" w:hAnsi="Verdana"/>
          <w:sz w:val="20"/>
        </w:rPr>
        <w:t>l</w:t>
      </w:r>
      <w:r>
        <w:rPr>
          <w:rFonts w:ascii="Verdana" w:hAnsi="Verdana"/>
          <w:sz w:val="20"/>
        </w:rPr>
        <w:t xml:space="preserve">egge di </w:t>
      </w:r>
      <w:r w:rsidR="00897E37">
        <w:rPr>
          <w:rFonts w:ascii="Verdana" w:hAnsi="Verdana"/>
          <w:sz w:val="20"/>
        </w:rPr>
        <w:t>s</w:t>
      </w:r>
      <w:r>
        <w:rPr>
          <w:rFonts w:ascii="Verdana" w:hAnsi="Verdana"/>
          <w:sz w:val="20"/>
        </w:rPr>
        <w:t>tabilità 2014)</w:t>
      </w:r>
      <w:r w:rsidR="0037493A">
        <w:rPr>
          <w:rFonts w:ascii="Verdana" w:hAnsi="Verdana"/>
          <w:sz w:val="20"/>
        </w:rPr>
        <w:t>,</w:t>
      </w:r>
      <w:r w:rsidR="00D17D34">
        <w:rPr>
          <w:rFonts w:ascii="Verdana" w:hAnsi="Verdana"/>
          <w:sz w:val="20"/>
        </w:rPr>
        <w:t xml:space="preserve"> ha inteso regolare la materia del contenimento</w:t>
      </w:r>
      <w:r w:rsidR="003A52A7">
        <w:rPr>
          <w:rFonts w:ascii="Verdana" w:hAnsi="Verdana"/>
          <w:sz w:val="20"/>
        </w:rPr>
        <w:t xml:space="preserve"> della spesa conseguente all’impiego del salario accessorio del personale dipendente, testualmente prevedendo che </w:t>
      </w:r>
      <w:r w:rsidR="003A52A7">
        <w:rPr>
          <w:rFonts w:ascii="Verdana" w:hAnsi="Verdana"/>
          <w:i/>
          <w:sz w:val="20"/>
        </w:rPr>
        <w:t>“a</w:t>
      </w:r>
      <w:r w:rsidR="003A52A7" w:rsidRPr="00E671A1">
        <w:rPr>
          <w:rFonts w:ascii="Verdana" w:hAnsi="Verdana"/>
          <w:i/>
          <w:sz w:val="20"/>
        </w:rPr>
        <w:t xml:space="preserve"> decorrere dal 1° gennaio 2015, le risorse destinate annualmente al trattamento economico accessorio sono decurtate di un importo pari alle riduzioni operate per</w:t>
      </w:r>
      <w:r w:rsidR="001A7B61">
        <w:rPr>
          <w:rFonts w:ascii="Verdana" w:hAnsi="Verdana"/>
          <w:i/>
          <w:sz w:val="20"/>
        </w:rPr>
        <w:t xml:space="preserve"> effetto del precedente periodo</w:t>
      </w:r>
      <w:r w:rsidR="003A52A7" w:rsidRPr="00E671A1">
        <w:rPr>
          <w:rFonts w:ascii="Verdana" w:hAnsi="Verdana"/>
          <w:i/>
          <w:sz w:val="20"/>
        </w:rPr>
        <w:t>”</w:t>
      </w:r>
      <w:r w:rsidR="001A7B61">
        <w:rPr>
          <w:rFonts w:ascii="Verdana" w:hAnsi="Verdana"/>
          <w:i/>
          <w:sz w:val="20"/>
        </w:rPr>
        <w:t>.</w:t>
      </w:r>
    </w:p>
    <w:p w:rsidR="003A52A7" w:rsidRDefault="003A52A7" w:rsidP="00DA6A4C">
      <w:pPr>
        <w:pStyle w:val="Corpotesto"/>
        <w:widowControl w:val="0"/>
        <w:spacing w:line="568" w:lineRule="exact"/>
        <w:ind w:firstLine="539"/>
        <w:rPr>
          <w:rFonts w:ascii="Verdana" w:hAnsi="Verdana"/>
          <w:sz w:val="20"/>
        </w:rPr>
      </w:pPr>
      <w:r>
        <w:rPr>
          <w:rFonts w:ascii="Verdana" w:hAnsi="Verdana"/>
          <w:sz w:val="20"/>
        </w:rPr>
        <w:t xml:space="preserve">La norma si inserisce in un contesto di norme riduttive, progressivamente e contestualmente, della spesa accessoria, </w:t>
      </w:r>
      <w:r w:rsidR="00F75A66">
        <w:rPr>
          <w:rFonts w:ascii="Verdana" w:hAnsi="Verdana"/>
          <w:sz w:val="20"/>
        </w:rPr>
        <w:t>la quale</w:t>
      </w:r>
      <w:r>
        <w:rPr>
          <w:rFonts w:ascii="Verdana" w:hAnsi="Verdana"/>
          <w:sz w:val="20"/>
        </w:rPr>
        <w:t>, nel periodo dal 2011 al 2014, deve essere stata mantenuta a livello di quella per il 2010 e ridotta annualmente in proporzione alla dinamica delle cessazioni dal servizio.</w:t>
      </w:r>
    </w:p>
    <w:p w:rsidR="00020243" w:rsidRDefault="003A52A7" w:rsidP="00DA6A4C">
      <w:pPr>
        <w:pStyle w:val="Corpotesto"/>
        <w:widowControl w:val="0"/>
        <w:spacing w:line="568" w:lineRule="exact"/>
        <w:ind w:firstLine="539"/>
        <w:rPr>
          <w:rFonts w:ascii="Verdana" w:hAnsi="Verdana"/>
          <w:sz w:val="20"/>
        </w:rPr>
      </w:pPr>
      <w:r>
        <w:rPr>
          <w:rFonts w:ascii="Verdana" w:hAnsi="Verdana"/>
          <w:sz w:val="20"/>
        </w:rPr>
        <w:t>Come sottolineato dalla Sezione regionale di controllo per la Puglia nella citata deliberazione</w:t>
      </w:r>
      <w:r w:rsidRPr="00897E37">
        <w:rPr>
          <w:rFonts w:ascii="Verdana" w:hAnsi="Verdana"/>
          <w:color w:val="000000" w:themeColor="text1"/>
          <w:sz w:val="20"/>
        </w:rPr>
        <w:t>,</w:t>
      </w:r>
      <w:r w:rsidRPr="008E6AF2">
        <w:rPr>
          <w:rFonts w:ascii="Verdana" w:hAnsi="Verdana"/>
          <w:color w:val="FF0000"/>
          <w:sz w:val="20"/>
        </w:rPr>
        <w:t xml:space="preserve"> </w:t>
      </w:r>
      <w:r w:rsidRPr="004A1610">
        <w:rPr>
          <w:rFonts w:ascii="Verdana" w:hAnsi="Verdana"/>
          <w:sz w:val="20"/>
        </w:rPr>
        <w:t>il comma 456</w:t>
      </w:r>
      <w:r w:rsidR="00F75A66">
        <w:rPr>
          <w:rFonts w:ascii="Verdana" w:hAnsi="Verdana"/>
          <w:sz w:val="20"/>
        </w:rPr>
        <w:t>,</w:t>
      </w:r>
      <w:r w:rsidRPr="004A1610">
        <w:rPr>
          <w:rFonts w:ascii="Verdana" w:hAnsi="Verdana"/>
          <w:sz w:val="20"/>
        </w:rPr>
        <w:t xml:space="preserve"> </w:t>
      </w:r>
      <w:r w:rsidR="008E6AF2" w:rsidRPr="004A1610">
        <w:rPr>
          <w:rFonts w:ascii="Verdana" w:hAnsi="Verdana"/>
          <w:sz w:val="20"/>
        </w:rPr>
        <w:t>dell’articolo 1</w:t>
      </w:r>
      <w:r w:rsidR="00F75A66">
        <w:rPr>
          <w:rFonts w:ascii="Verdana" w:hAnsi="Verdana"/>
          <w:sz w:val="20"/>
        </w:rPr>
        <w:t>,</w:t>
      </w:r>
      <w:r w:rsidR="008E6AF2" w:rsidRPr="004A1610">
        <w:rPr>
          <w:rFonts w:ascii="Verdana" w:hAnsi="Verdana"/>
          <w:sz w:val="20"/>
        </w:rPr>
        <w:t xml:space="preserve"> della legge </w:t>
      </w:r>
      <w:r w:rsidR="00F75A66">
        <w:rPr>
          <w:rFonts w:ascii="Verdana" w:hAnsi="Verdana"/>
          <w:sz w:val="20"/>
        </w:rPr>
        <w:t xml:space="preserve">                    </w:t>
      </w:r>
      <w:r w:rsidR="008E6AF2" w:rsidRPr="004A1610">
        <w:rPr>
          <w:rFonts w:ascii="Verdana" w:hAnsi="Verdana"/>
          <w:sz w:val="20"/>
        </w:rPr>
        <w:t>n.</w:t>
      </w:r>
      <w:r w:rsidR="00F75A66">
        <w:rPr>
          <w:rFonts w:ascii="Verdana" w:hAnsi="Verdana"/>
          <w:sz w:val="20"/>
        </w:rPr>
        <w:t xml:space="preserve"> </w:t>
      </w:r>
      <w:r w:rsidR="008E6AF2" w:rsidRPr="004A1610">
        <w:rPr>
          <w:rFonts w:ascii="Verdana" w:hAnsi="Verdana"/>
          <w:sz w:val="20"/>
        </w:rPr>
        <w:t xml:space="preserve">147/2013 citata </w:t>
      </w:r>
      <w:r w:rsidRPr="004A1610">
        <w:rPr>
          <w:rFonts w:ascii="Verdana" w:hAnsi="Verdana"/>
          <w:sz w:val="20"/>
        </w:rPr>
        <w:t>ha</w:t>
      </w:r>
      <w:r w:rsidR="004A1610">
        <w:rPr>
          <w:rFonts w:ascii="Verdana" w:hAnsi="Verdana"/>
          <w:sz w:val="20"/>
        </w:rPr>
        <w:t>,</w:t>
      </w:r>
      <w:r w:rsidRPr="004A1610">
        <w:rPr>
          <w:rFonts w:ascii="Verdana" w:hAnsi="Verdana"/>
          <w:sz w:val="20"/>
        </w:rPr>
        <w:t xml:space="preserve"> conte</w:t>
      </w:r>
      <w:r>
        <w:rPr>
          <w:rFonts w:ascii="Verdana" w:hAnsi="Verdana"/>
          <w:sz w:val="20"/>
        </w:rPr>
        <w:t>mporaneamente</w:t>
      </w:r>
      <w:r w:rsidR="004A1610">
        <w:rPr>
          <w:rFonts w:ascii="Verdana" w:hAnsi="Verdana"/>
          <w:sz w:val="20"/>
        </w:rPr>
        <w:t>,</w:t>
      </w:r>
      <w:r>
        <w:rPr>
          <w:rFonts w:ascii="Verdana" w:hAnsi="Verdana"/>
          <w:sz w:val="20"/>
        </w:rPr>
        <w:t xml:space="preserve"> apportato due novità: da un lato, ha prorogato al 31.12.2014 (il termine precedente era il 31.12.2013)</w:t>
      </w:r>
      <w:r w:rsidR="00020243">
        <w:rPr>
          <w:rFonts w:ascii="Verdana" w:hAnsi="Verdana"/>
          <w:sz w:val="20"/>
        </w:rPr>
        <w:t xml:space="preserve"> le misure di contenimento e di riduzione previste dalla parte prima del comma stesso (obbligo di non superare il corrispondente importo dell’anno 2010 ed automatica riduzione in misura proporzionale alla riduzione del personale in servizio), dall’altro, ha previsto, a decorrere dal 1° gennaio 2015 – cessati gli obblighi già descritti –</w:t>
      </w:r>
      <w:r w:rsidR="00540831">
        <w:rPr>
          <w:rFonts w:ascii="Verdana" w:hAnsi="Verdana"/>
          <w:sz w:val="20"/>
        </w:rPr>
        <w:t>,</w:t>
      </w:r>
      <w:r w:rsidR="00020243">
        <w:rPr>
          <w:rFonts w:ascii="Verdana" w:hAnsi="Verdana"/>
          <w:sz w:val="20"/>
        </w:rPr>
        <w:t xml:space="preserve"> una decurtazione di </w:t>
      </w:r>
      <w:r w:rsidR="00020243">
        <w:rPr>
          <w:rFonts w:ascii="Verdana" w:hAnsi="Verdana"/>
          <w:i/>
          <w:sz w:val="20"/>
        </w:rPr>
        <w:t>“</w:t>
      </w:r>
      <w:r w:rsidR="00020243" w:rsidRPr="00E671A1">
        <w:rPr>
          <w:rFonts w:ascii="Verdana" w:hAnsi="Verdana"/>
          <w:i/>
          <w:sz w:val="20"/>
        </w:rPr>
        <w:t>un importo pari alle riduzioni operate per</w:t>
      </w:r>
      <w:r w:rsidR="00020243">
        <w:rPr>
          <w:rFonts w:ascii="Verdana" w:hAnsi="Verdana"/>
          <w:i/>
          <w:sz w:val="20"/>
        </w:rPr>
        <w:t xml:space="preserve"> effetto del precedente periodo</w:t>
      </w:r>
      <w:r w:rsidR="00020243" w:rsidRPr="00E671A1">
        <w:rPr>
          <w:rFonts w:ascii="Verdana" w:hAnsi="Verdana"/>
          <w:i/>
          <w:sz w:val="20"/>
        </w:rPr>
        <w:t>”</w:t>
      </w:r>
      <w:r w:rsidR="00020243">
        <w:rPr>
          <w:rFonts w:ascii="Verdana" w:hAnsi="Verdana"/>
          <w:i/>
          <w:sz w:val="20"/>
        </w:rPr>
        <w:t xml:space="preserve"> </w:t>
      </w:r>
      <w:r w:rsidR="00020243">
        <w:rPr>
          <w:rFonts w:ascii="Verdana" w:hAnsi="Verdana"/>
          <w:sz w:val="20"/>
        </w:rPr>
        <w:t xml:space="preserve">(non precedente esercizio o precedente anno). Ed, </w:t>
      </w:r>
      <w:r w:rsidR="00020243">
        <w:rPr>
          <w:rFonts w:ascii="Verdana" w:hAnsi="Verdana"/>
          <w:sz w:val="20"/>
        </w:rPr>
        <w:lastRenderedPageBreak/>
        <w:t>in effetti, la norma fa riferimento al periodo precedente, non all’esercizio o anno precedente</w:t>
      </w:r>
      <w:r w:rsidR="002C27CC">
        <w:rPr>
          <w:rFonts w:ascii="Verdana" w:hAnsi="Verdana"/>
          <w:sz w:val="20"/>
        </w:rPr>
        <w:t>.</w:t>
      </w:r>
    </w:p>
    <w:p w:rsidR="00020243" w:rsidRPr="002A5039" w:rsidRDefault="00020243" w:rsidP="00952CE6">
      <w:pPr>
        <w:pStyle w:val="Corpotesto"/>
        <w:widowControl w:val="0"/>
        <w:spacing w:line="568" w:lineRule="exact"/>
        <w:ind w:firstLine="539"/>
        <w:rPr>
          <w:rFonts w:ascii="Verdana" w:hAnsi="Verdana"/>
          <w:sz w:val="20"/>
        </w:rPr>
      </w:pPr>
      <w:r>
        <w:rPr>
          <w:rFonts w:ascii="Verdana" w:hAnsi="Verdana"/>
          <w:sz w:val="20"/>
        </w:rPr>
        <w:t xml:space="preserve">La stessa Sezione – conformemente ad un consolidato orientamento della Corte dei conti (deliberazioni n. 51/CONTR/2011 </w:t>
      </w:r>
      <w:r w:rsidR="00732EA3">
        <w:rPr>
          <w:rFonts w:ascii="Verdana" w:hAnsi="Verdana"/>
          <w:sz w:val="20"/>
        </w:rPr>
        <w:t xml:space="preserve">delle Sezioni Riunite in sede di controllo </w:t>
      </w:r>
      <w:r>
        <w:rPr>
          <w:rFonts w:ascii="Verdana" w:hAnsi="Verdana"/>
          <w:sz w:val="20"/>
        </w:rPr>
        <w:t>e n. 26/SEZAUT/2013</w:t>
      </w:r>
      <w:r w:rsidR="00732EA3">
        <w:rPr>
          <w:rFonts w:ascii="Verdana" w:hAnsi="Verdana"/>
          <w:sz w:val="20"/>
        </w:rPr>
        <w:t xml:space="preserve"> della Sezione delle Autonomie</w:t>
      </w:r>
      <w:r>
        <w:rPr>
          <w:rFonts w:ascii="Verdana" w:hAnsi="Verdana"/>
          <w:sz w:val="20"/>
        </w:rPr>
        <w:t>), dal quale neanche questa Sezione intende discostarsi – ha ricordato come la disciplina in esame si inserisce nel quadro delle disposizioni volte al contenimento della spesa per il person</w:t>
      </w:r>
      <w:r w:rsidR="004B12C8">
        <w:rPr>
          <w:rFonts w:ascii="Verdana" w:hAnsi="Verdana"/>
          <w:sz w:val="20"/>
        </w:rPr>
        <w:t>ale, aventi natura cogente ed inderogabile, e che tale norma è da considerarsi di stretta interpretazione. In altra deliberazione        (</w:t>
      </w:r>
      <w:r w:rsidR="00794492">
        <w:rPr>
          <w:rFonts w:ascii="Verdana" w:hAnsi="Verdana"/>
          <w:sz w:val="20"/>
        </w:rPr>
        <w:t>del</w:t>
      </w:r>
      <w:r w:rsidR="00F75A66">
        <w:rPr>
          <w:rFonts w:ascii="Verdana" w:hAnsi="Verdana"/>
          <w:sz w:val="20"/>
        </w:rPr>
        <w:t>iberazione</w:t>
      </w:r>
      <w:r w:rsidR="00794492">
        <w:rPr>
          <w:rFonts w:ascii="Verdana" w:hAnsi="Verdana"/>
          <w:sz w:val="20"/>
        </w:rPr>
        <w:t xml:space="preserve"> </w:t>
      </w:r>
      <w:r w:rsidR="004B12C8">
        <w:rPr>
          <w:rFonts w:ascii="Verdana" w:hAnsi="Verdana"/>
          <w:sz w:val="20"/>
        </w:rPr>
        <w:t>n. 53/</w:t>
      </w:r>
      <w:r w:rsidR="00794492">
        <w:rPr>
          <w:rFonts w:ascii="Verdana" w:hAnsi="Verdana"/>
          <w:sz w:val="20"/>
        </w:rPr>
        <w:t>PAR/</w:t>
      </w:r>
      <w:r w:rsidR="004B12C8">
        <w:rPr>
          <w:rFonts w:ascii="Verdana" w:hAnsi="Verdana"/>
          <w:sz w:val="20"/>
        </w:rPr>
        <w:t>2015)</w:t>
      </w:r>
      <w:r w:rsidR="00C0412E">
        <w:rPr>
          <w:rFonts w:ascii="Verdana" w:hAnsi="Verdana"/>
          <w:sz w:val="20"/>
        </w:rPr>
        <w:t xml:space="preserve">, sempre la stessa Sezione Puglia ha affermato che </w:t>
      </w:r>
      <w:r w:rsidR="00991207" w:rsidRPr="00991207">
        <w:rPr>
          <w:rFonts w:ascii="Verdana" w:hAnsi="Verdana"/>
          <w:i/>
          <w:sz w:val="20"/>
        </w:rPr>
        <w:t>“</w:t>
      </w:r>
      <w:r w:rsidR="00C0412E" w:rsidRPr="00991207">
        <w:rPr>
          <w:rFonts w:ascii="Verdana" w:hAnsi="Verdana"/>
          <w:i/>
          <w:sz w:val="20"/>
        </w:rPr>
        <w:t>gli importi decurtati per il periodo 2011-2014, sia per evitare lo sforamento del tetto del 2010 che per garantire la diminuzione proporzionale alle cessazioni dal servizio</w:t>
      </w:r>
      <w:r w:rsidR="00991207" w:rsidRPr="00991207">
        <w:rPr>
          <w:rFonts w:ascii="Verdana" w:hAnsi="Verdana"/>
          <w:i/>
          <w:sz w:val="20"/>
        </w:rPr>
        <w:t>, (</w:t>
      </w:r>
      <w:r w:rsidR="0072722E" w:rsidRPr="00991207">
        <w:rPr>
          <w:rFonts w:ascii="Verdana" w:hAnsi="Verdana"/>
          <w:i/>
          <w:sz w:val="20"/>
        </w:rPr>
        <w:t>…</w:t>
      </w:r>
      <w:r w:rsidR="00991207" w:rsidRPr="00991207">
        <w:rPr>
          <w:rFonts w:ascii="Verdana" w:hAnsi="Verdana"/>
          <w:i/>
          <w:sz w:val="20"/>
        </w:rPr>
        <w:t xml:space="preserve">) </w:t>
      </w:r>
      <w:r w:rsidR="0072722E" w:rsidRPr="00991207">
        <w:rPr>
          <w:rFonts w:ascii="Verdana" w:hAnsi="Verdana"/>
          <w:i/>
          <w:sz w:val="20"/>
        </w:rPr>
        <w:t>costituiscono il parametro su</w:t>
      </w:r>
      <w:r w:rsidR="00991207" w:rsidRPr="00991207">
        <w:rPr>
          <w:rFonts w:ascii="Verdana" w:hAnsi="Verdana"/>
          <w:i/>
          <w:sz w:val="20"/>
        </w:rPr>
        <w:t>lla</w:t>
      </w:r>
      <w:r w:rsidR="0072722E" w:rsidRPr="00991207">
        <w:rPr>
          <w:rFonts w:ascii="Verdana" w:hAnsi="Verdana"/>
          <w:i/>
          <w:sz w:val="20"/>
        </w:rPr>
        <w:t xml:space="preserve"> cui</w:t>
      </w:r>
      <w:r w:rsidR="00991207" w:rsidRPr="00991207">
        <w:rPr>
          <w:rFonts w:ascii="Verdana" w:hAnsi="Verdana"/>
          <w:i/>
          <w:sz w:val="20"/>
        </w:rPr>
        <w:t xml:space="preserve"> base </w:t>
      </w:r>
      <w:r w:rsidR="0072722E" w:rsidRPr="00991207">
        <w:rPr>
          <w:rFonts w:ascii="Verdana" w:hAnsi="Verdana"/>
          <w:i/>
          <w:sz w:val="20"/>
        </w:rPr>
        <w:t>effettuare la riduzione delle risorse destinate alla contrattazione decentrata a decorrere dal 2015”</w:t>
      </w:r>
      <w:r w:rsidR="00794492">
        <w:rPr>
          <w:rFonts w:ascii="Verdana" w:hAnsi="Verdana"/>
          <w:sz w:val="20"/>
        </w:rPr>
        <w:t>. Tali decurtazioni diventano permanenti e non possono essere più recuperate              (del</w:t>
      </w:r>
      <w:r w:rsidR="00F75A66">
        <w:rPr>
          <w:rFonts w:ascii="Verdana" w:hAnsi="Verdana"/>
          <w:sz w:val="20"/>
        </w:rPr>
        <w:t>iberazione</w:t>
      </w:r>
      <w:r w:rsidR="00794492">
        <w:rPr>
          <w:rFonts w:ascii="Verdana" w:hAnsi="Verdana"/>
          <w:sz w:val="20"/>
        </w:rPr>
        <w:t xml:space="preserve"> </w:t>
      </w:r>
      <w:r w:rsidR="00214D12">
        <w:rPr>
          <w:rFonts w:ascii="Verdana" w:hAnsi="Verdana"/>
          <w:sz w:val="20"/>
        </w:rPr>
        <w:t>n. 97/PAR/2015, Sez</w:t>
      </w:r>
      <w:r w:rsidR="00712FFC">
        <w:rPr>
          <w:rFonts w:ascii="Verdana" w:hAnsi="Verdana"/>
          <w:sz w:val="20"/>
        </w:rPr>
        <w:t>ione</w:t>
      </w:r>
      <w:r w:rsidR="00214D12">
        <w:rPr>
          <w:rFonts w:ascii="Verdana" w:hAnsi="Verdana"/>
          <w:sz w:val="20"/>
        </w:rPr>
        <w:t xml:space="preserve"> re</w:t>
      </w:r>
      <w:r w:rsidR="00794492">
        <w:rPr>
          <w:rFonts w:ascii="Verdana" w:hAnsi="Verdana"/>
          <w:sz w:val="20"/>
        </w:rPr>
        <w:t>g</w:t>
      </w:r>
      <w:r w:rsidR="00214D12">
        <w:rPr>
          <w:rFonts w:ascii="Verdana" w:hAnsi="Verdana"/>
          <w:sz w:val="20"/>
        </w:rPr>
        <w:t>ionale di c</w:t>
      </w:r>
      <w:r w:rsidR="00794492">
        <w:rPr>
          <w:rFonts w:ascii="Verdana" w:hAnsi="Verdana"/>
          <w:sz w:val="20"/>
        </w:rPr>
        <w:t>ontr</w:t>
      </w:r>
      <w:r w:rsidR="00214D12">
        <w:rPr>
          <w:rFonts w:ascii="Verdana" w:hAnsi="Verdana"/>
          <w:sz w:val="20"/>
        </w:rPr>
        <w:t>ollo per la</w:t>
      </w:r>
      <w:r w:rsidR="00794492">
        <w:rPr>
          <w:rFonts w:ascii="Verdana" w:hAnsi="Verdana"/>
          <w:sz w:val="20"/>
        </w:rPr>
        <w:t xml:space="preserve"> Puglia). Ne discende, dunque, che</w:t>
      </w:r>
      <w:r w:rsidR="00540831">
        <w:rPr>
          <w:rFonts w:ascii="Verdana" w:hAnsi="Verdana"/>
          <w:sz w:val="20"/>
        </w:rPr>
        <w:t>,</w:t>
      </w:r>
      <w:r w:rsidR="00794492">
        <w:rPr>
          <w:rFonts w:ascii="Verdana" w:hAnsi="Verdana"/>
          <w:sz w:val="20"/>
        </w:rPr>
        <w:t xml:space="preserve"> come evidenziato nella richiesta di parere, la Sezione ritiene che vanno perse le risorse </w:t>
      </w:r>
      <w:r w:rsidR="00B06DA1">
        <w:rPr>
          <w:rFonts w:ascii="Verdana" w:hAnsi="Verdana"/>
          <w:sz w:val="20"/>
        </w:rPr>
        <w:t>riacquisite nei fondi (quali la RIA) nel corso dell’intero quadriennio, ma congelate per effetto delle regole di non superamento del tetto</w:t>
      </w:r>
      <w:r w:rsidR="00B06DA1" w:rsidRPr="002A5039">
        <w:rPr>
          <w:rFonts w:ascii="Verdana" w:hAnsi="Verdana"/>
          <w:sz w:val="20"/>
        </w:rPr>
        <w:t>.</w:t>
      </w:r>
      <w:r w:rsidR="00C57739" w:rsidRPr="002A5039">
        <w:rPr>
          <w:rFonts w:ascii="Verdana" w:hAnsi="Verdana"/>
          <w:sz w:val="20"/>
        </w:rPr>
        <w:t xml:space="preserve"> E ciò in coerenza anche alle circolari del Ministero dell’</w:t>
      </w:r>
      <w:r w:rsidR="00F75A66">
        <w:rPr>
          <w:rFonts w:ascii="Verdana" w:hAnsi="Verdana"/>
          <w:sz w:val="20"/>
        </w:rPr>
        <w:t>E</w:t>
      </w:r>
      <w:r w:rsidR="00C57739" w:rsidRPr="002A5039">
        <w:rPr>
          <w:rFonts w:ascii="Verdana" w:hAnsi="Verdana"/>
          <w:sz w:val="20"/>
        </w:rPr>
        <w:t xml:space="preserve">conomia e delle </w:t>
      </w:r>
      <w:r w:rsidR="00F75A66">
        <w:rPr>
          <w:rFonts w:ascii="Verdana" w:hAnsi="Verdana"/>
          <w:sz w:val="20"/>
        </w:rPr>
        <w:t>F</w:t>
      </w:r>
      <w:r w:rsidR="00C57739" w:rsidRPr="002A5039">
        <w:rPr>
          <w:rFonts w:ascii="Verdana" w:hAnsi="Verdana"/>
          <w:sz w:val="20"/>
        </w:rPr>
        <w:t xml:space="preserve">inanze che chiarisce </w:t>
      </w:r>
      <w:r w:rsidR="00C57739" w:rsidRPr="002A5039">
        <w:rPr>
          <w:rFonts w:ascii="Verdana" w:hAnsi="Verdana"/>
          <w:sz w:val="20"/>
        </w:rPr>
        <w:lastRenderedPageBreak/>
        <w:t>(circolare n.</w:t>
      </w:r>
      <w:r w:rsidR="00F75A66">
        <w:rPr>
          <w:rFonts w:ascii="Verdana" w:hAnsi="Verdana"/>
          <w:sz w:val="20"/>
        </w:rPr>
        <w:t xml:space="preserve"> </w:t>
      </w:r>
      <w:r w:rsidR="00C57739" w:rsidRPr="002A5039">
        <w:rPr>
          <w:rFonts w:ascii="Verdana" w:hAnsi="Verdana"/>
          <w:sz w:val="20"/>
        </w:rPr>
        <w:t>12/2011) che il tetto opera sia sulla parte stabile che su quella variabile (circolare n.4</w:t>
      </w:r>
      <w:r w:rsidR="00F75A66">
        <w:rPr>
          <w:rFonts w:ascii="Verdana" w:hAnsi="Verdana"/>
          <w:sz w:val="20"/>
        </w:rPr>
        <w:t xml:space="preserve"> </w:t>
      </w:r>
      <w:r w:rsidR="00C57739" w:rsidRPr="002A5039">
        <w:rPr>
          <w:rFonts w:ascii="Verdana" w:hAnsi="Verdana"/>
          <w:sz w:val="20"/>
        </w:rPr>
        <w:t xml:space="preserve">0/2010) </w:t>
      </w:r>
      <w:r w:rsidR="00952CE6" w:rsidRPr="002A5039">
        <w:rPr>
          <w:rFonts w:ascii="Verdana" w:hAnsi="Verdana"/>
          <w:sz w:val="20"/>
        </w:rPr>
        <w:t xml:space="preserve">e </w:t>
      </w:r>
      <w:r w:rsidR="00C57739" w:rsidRPr="002A5039">
        <w:rPr>
          <w:rFonts w:ascii="Verdana" w:hAnsi="Verdana"/>
          <w:sz w:val="20"/>
        </w:rPr>
        <w:t>che l’inserimento nel fondo della RIA dei cessati determina un aumento del fondo e quindi non è legittima nel periodo (triennio divenuto ora quadriennio 2011-2014) in cui opera il blocco. È possibile inserire nel fondo tali importi</w:t>
      </w:r>
      <w:r w:rsidR="00F75A66">
        <w:rPr>
          <w:rFonts w:ascii="Verdana" w:hAnsi="Verdana"/>
          <w:sz w:val="20"/>
        </w:rPr>
        <w:t>,</w:t>
      </w:r>
      <w:r w:rsidR="00C57739" w:rsidRPr="002A5039">
        <w:rPr>
          <w:rFonts w:ascii="Verdana" w:hAnsi="Verdana"/>
          <w:sz w:val="20"/>
        </w:rPr>
        <w:t xml:space="preserve"> purch</w:t>
      </w:r>
      <w:r w:rsidR="00F75A66">
        <w:rPr>
          <w:rFonts w:ascii="Verdana" w:hAnsi="Verdana"/>
          <w:sz w:val="20"/>
        </w:rPr>
        <w:t>é,</w:t>
      </w:r>
      <w:r w:rsidR="00C57739" w:rsidRPr="002A5039">
        <w:rPr>
          <w:rFonts w:ascii="Verdana" w:hAnsi="Verdana"/>
          <w:sz w:val="20"/>
        </w:rPr>
        <w:t xml:space="preserve"> nel complesso</w:t>
      </w:r>
      <w:r w:rsidR="00F75A66">
        <w:rPr>
          <w:rFonts w:ascii="Verdana" w:hAnsi="Verdana"/>
          <w:sz w:val="20"/>
        </w:rPr>
        <w:t>,</w:t>
      </w:r>
      <w:r w:rsidR="00C57739" w:rsidRPr="002A5039">
        <w:rPr>
          <w:rFonts w:ascii="Verdana" w:hAnsi="Verdana"/>
          <w:sz w:val="20"/>
        </w:rPr>
        <w:t xml:space="preserve"> fino al 31.12.2014 sia rispettato il tetto del fondo 2010.</w:t>
      </w:r>
    </w:p>
    <w:p w:rsidR="00B06DA1" w:rsidRDefault="00B06DA1" w:rsidP="00DA6A4C">
      <w:pPr>
        <w:pStyle w:val="Corpotesto"/>
        <w:widowControl w:val="0"/>
        <w:spacing w:line="568" w:lineRule="exact"/>
        <w:ind w:firstLine="539"/>
        <w:rPr>
          <w:rFonts w:ascii="Verdana" w:hAnsi="Verdana"/>
          <w:sz w:val="20"/>
        </w:rPr>
      </w:pPr>
      <w:r>
        <w:rPr>
          <w:rFonts w:ascii="Verdana" w:hAnsi="Verdana"/>
          <w:sz w:val="20"/>
        </w:rPr>
        <w:t>In buona sostanza, dalla norma si evince che le riduzioni operate dal 2011 al 2014 restano storicizzate e non possono essere recuperate.</w:t>
      </w:r>
    </w:p>
    <w:p w:rsidR="00B06DA1" w:rsidRPr="00794492" w:rsidRDefault="00B06DA1" w:rsidP="00DA6A4C">
      <w:pPr>
        <w:pStyle w:val="Corpotesto"/>
        <w:widowControl w:val="0"/>
        <w:spacing w:line="568" w:lineRule="exact"/>
        <w:ind w:firstLine="539"/>
        <w:rPr>
          <w:rFonts w:ascii="Verdana" w:hAnsi="Verdana"/>
          <w:sz w:val="20"/>
        </w:rPr>
      </w:pPr>
      <w:r>
        <w:rPr>
          <w:rFonts w:ascii="Verdana" w:hAnsi="Verdana"/>
          <w:sz w:val="20"/>
        </w:rPr>
        <w:t>Appare, quindi, condivisibile la tesi della Sezione Puglia, secondo cui non è sostenibile, nell’ottica del contenimento della spesa, limitare, dal 1°</w:t>
      </w:r>
      <w:r w:rsidR="003B0934">
        <w:rPr>
          <w:rFonts w:ascii="Verdana" w:hAnsi="Verdana"/>
          <w:sz w:val="20"/>
        </w:rPr>
        <w:t xml:space="preserve"> </w:t>
      </w:r>
      <w:r>
        <w:rPr>
          <w:rFonts w:ascii="Verdana" w:hAnsi="Verdana"/>
          <w:sz w:val="20"/>
        </w:rPr>
        <w:t>gennaio 2015, la decurtazione ad un importo pari a quello operato nel 2014.</w:t>
      </w:r>
    </w:p>
    <w:p w:rsidR="00E52D46" w:rsidRDefault="00B03B10" w:rsidP="00DA6A4C">
      <w:pPr>
        <w:pStyle w:val="Corpotesto"/>
        <w:widowControl w:val="0"/>
        <w:spacing w:line="568" w:lineRule="exact"/>
        <w:ind w:firstLine="539"/>
        <w:rPr>
          <w:rFonts w:ascii="Verdana" w:hAnsi="Verdana"/>
          <w:sz w:val="20"/>
        </w:rPr>
      </w:pPr>
      <w:r>
        <w:rPr>
          <w:rFonts w:ascii="Verdana" w:hAnsi="Verdana"/>
          <w:sz w:val="20"/>
        </w:rPr>
        <w:t xml:space="preserve">Il </w:t>
      </w:r>
      <w:r>
        <w:rPr>
          <w:rFonts w:ascii="Verdana" w:hAnsi="Verdana"/>
          <w:i/>
          <w:sz w:val="20"/>
        </w:rPr>
        <w:t xml:space="preserve">quid pluris </w:t>
      </w:r>
      <w:r>
        <w:rPr>
          <w:rFonts w:ascii="Verdana" w:hAnsi="Verdana"/>
          <w:sz w:val="20"/>
        </w:rPr>
        <w:t>introdotto dalla medesima</w:t>
      </w:r>
      <w:r w:rsidR="00304ACD">
        <w:rPr>
          <w:rFonts w:ascii="Verdana" w:hAnsi="Verdana"/>
          <w:sz w:val="20"/>
        </w:rPr>
        <w:t xml:space="preserve"> è </w:t>
      </w:r>
      <w:bookmarkStart w:id="0" w:name="_GoBack"/>
      <w:bookmarkEnd w:id="0"/>
      <w:r w:rsidR="00304ACD">
        <w:rPr>
          <w:rFonts w:ascii="Verdana" w:hAnsi="Verdana"/>
          <w:sz w:val="20"/>
        </w:rPr>
        <w:t>proprio il consolidamento delle decurtazioni apportate nel precedente periodo, cioè l’intero periodo</w:t>
      </w:r>
      <w:r w:rsidR="00540831">
        <w:rPr>
          <w:rFonts w:ascii="Verdana" w:hAnsi="Verdana"/>
          <w:sz w:val="20"/>
        </w:rPr>
        <w:t xml:space="preserve"> (01.01.2011-31.12.2014)</w:t>
      </w:r>
      <w:r w:rsidR="00304ACD">
        <w:rPr>
          <w:rFonts w:ascii="Verdana" w:hAnsi="Verdana"/>
          <w:sz w:val="20"/>
        </w:rPr>
        <w:t xml:space="preserve"> disciplinato dall’articolo 9, comma 2-</w:t>
      </w:r>
      <w:r w:rsidR="00304ACD">
        <w:rPr>
          <w:rFonts w:ascii="Verdana" w:hAnsi="Verdana"/>
          <w:i/>
          <w:sz w:val="20"/>
        </w:rPr>
        <w:t>bis</w:t>
      </w:r>
      <w:r w:rsidR="00540831">
        <w:rPr>
          <w:rFonts w:ascii="Verdana" w:hAnsi="Verdana"/>
          <w:sz w:val="20"/>
        </w:rPr>
        <w:t>, in esame,</w:t>
      </w:r>
      <w:r w:rsidR="00304ACD">
        <w:rPr>
          <w:rFonts w:ascii="Verdana" w:hAnsi="Verdana"/>
          <w:sz w:val="20"/>
        </w:rPr>
        <w:t xml:space="preserve"> e con riferimento sia alla parte fissa che alla parte variabile</w:t>
      </w:r>
      <w:r w:rsidR="002A5039">
        <w:rPr>
          <w:rFonts w:ascii="Verdana" w:hAnsi="Verdana"/>
          <w:sz w:val="20"/>
        </w:rPr>
        <w:t xml:space="preserve"> del fondo</w:t>
      </w:r>
      <w:r w:rsidR="00304ACD">
        <w:rPr>
          <w:rFonts w:ascii="Verdana" w:hAnsi="Verdana"/>
          <w:sz w:val="20"/>
        </w:rPr>
        <w:t>.</w:t>
      </w:r>
    </w:p>
    <w:p w:rsidR="0094500C" w:rsidRPr="002A5039" w:rsidRDefault="0094500C" w:rsidP="00DA6A4C">
      <w:pPr>
        <w:pStyle w:val="Corpotesto"/>
        <w:widowControl w:val="0"/>
        <w:spacing w:line="568" w:lineRule="exact"/>
        <w:ind w:firstLine="539"/>
        <w:rPr>
          <w:rFonts w:ascii="Verdana" w:hAnsi="Verdana"/>
          <w:sz w:val="20"/>
        </w:rPr>
      </w:pPr>
      <w:r w:rsidRPr="002A5039">
        <w:rPr>
          <w:rFonts w:ascii="Verdana" w:hAnsi="Verdana"/>
          <w:sz w:val="20"/>
        </w:rPr>
        <w:t>La disposizione deve essere interpretata in coerenza con la finalità di stabilizzazione degli effetti di riduzione economica che la prescrizione originaria ha, nel tempo, prodotto sino al 31.12.2014, con un effetto consolidativo a regime della riduzione dei fondi avutasi nel quadriennio 2011-2014.</w:t>
      </w:r>
    </w:p>
    <w:p w:rsidR="00965F67" w:rsidRDefault="00965F67" w:rsidP="00DA6A4C">
      <w:pPr>
        <w:pStyle w:val="Corpotesto"/>
        <w:widowControl w:val="0"/>
        <w:spacing w:line="568" w:lineRule="exact"/>
        <w:ind w:firstLine="539"/>
        <w:rPr>
          <w:rFonts w:ascii="Verdana" w:hAnsi="Verdana"/>
          <w:sz w:val="20"/>
        </w:rPr>
      </w:pPr>
      <w:r>
        <w:rPr>
          <w:rFonts w:ascii="Verdana" w:hAnsi="Verdana"/>
          <w:sz w:val="20"/>
        </w:rPr>
        <w:t>L’interpretazione alternativa proposta dal Consiglio regionale</w:t>
      </w:r>
      <w:r w:rsidR="007D37EC">
        <w:rPr>
          <w:rFonts w:ascii="Verdana" w:hAnsi="Verdana"/>
          <w:sz w:val="20"/>
        </w:rPr>
        <w:t xml:space="preserve"> </w:t>
      </w:r>
      <w:r w:rsidR="007D37EC">
        <w:rPr>
          <w:rFonts w:ascii="Verdana" w:hAnsi="Verdana"/>
          <w:sz w:val="20"/>
        </w:rPr>
        <w:lastRenderedPageBreak/>
        <w:t>(fondo quantificato secondo le regole contrattuali; decurtazione pari a quella del 2014) sembra addirittura comportare, nell’esempio addotto, un aumento del fondo stesso, sebbene corrispondente alla variazione del solo valore</w:t>
      </w:r>
      <w:r w:rsidR="00540831">
        <w:rPr>
          <w:rFonts w:ascii="Verdana" w:hAnsi="Verdana"/>
          <w:sz w:val="20"/>
        </w:rPr>
        <w:t>,</w:t>
      </w:r>
      <w:r w:rsidR="007D37EC">
        <w:rPr>
          <w:rFonts w:ascii="Verdana" w:hAnsi="Verdana"/>
          <w:sz w:val="20"/>
        </w:rPr>
        <w:t xml:space="preserve"> calcolato ai sensi delle disposizioni </w:t>
      </w:r>
      <w:r w:rsidR="007D37EC" w:rsidRPr="00B54061">
        <w:rPr>
          <w:rFonts w:ascii="Verdana" w:hAnsi="Verdana"/>
          <w:sz w:val="20"/>
        </w:rPr>
        <w:t>contrattuali</w:t>
      </w:r>
      <w:r w:rsidR="002C27CC" w:rsidRPr="00B54061">
        <w:rPr>
          <w:rFonts w:ascii="Verdana" w:hAnsi="Verdana"/>
          <w:sz w:val="20"/>
        </w:rPr>
        <w:t>. Tale</w:t>
      </w:r>
      <w:r w:rsidR="002C27CC" w:rsidRPr="002C27CC">
        <w:rPr>
          <w:rFonts w:ascii="Verdana" w:hAnsi="Verdana"/>
          <w:sz w:val="20"/>
        </w:rPr>
        <w:t xml:space="preserve"> interpretazione, comunque, contrasta</w:t>
      </w:r>
      <w:r w:rsidR="007D37EC" w:rsidRPr="002C27CC">
        <w:rPr>
          <w:rFonts w:ascii="Verdana" w:hAnsi="Verdana"/>
          <w:sz w:val="20"/>
        </w:rPr>
        <w:t xml:space="preserve"> con la </w:t>
      </w:r>
      <w:r w:rsidR="007D37EC" w:rsidRPr="002C27CC">
        <w:rPr>
          <w:rFonts w:ascii="Verdana" w:hAnsi="Verdana"/>
          <w:i/>
          <w:sz w:val="20"/>
        </w:rPr>
        <w:t>ratio</w:t>
      </w:r>
      <w:r w:rsidR="007D37EC" w:rsidRPr="002C27CC">
        <w:rPr>
          <w:rFonts w:ascii="Verdana" w:hAnsi="Verdana"/>
          <w:sz w:val="20"/>
        </w:rPr>
        <w:t xml:space="preserve"> appena esposta della norma.</w:t>
      </w:r>
    </w:p>
    <w:p w:rsidR="00893F5E" w:rsidRPr="00893F5E" w:rsidRDefault="00893F5E" w:rsidP="00DA6A4C">
      <w:pPr>
        <w:pStyle w:val="Corpotesto"/>
        <w:widowControl w:val="0"/>
        <w:spacing w:line="568" w:lineRule="exact"/>
        <w:ind w:firstLine="539"/>
        <w:rPr>
          <w:rFonts w:ascii="Verdana" w:hAnsi="Verdana"/>
          <w:sz w:val="20"/>
        </w:rPr>
      </w:pPr>
      <w:r w:rsidRPr="00893F5E">
        <w:rPr>
          <w:rFonts w:ascii="Verdana" w:hAnsi="Verdana"/>
          <w:sz w:val="20"/>
        </w:rPr>
        <w:t xml:space="preserve">Del resto, ove si volesse nel 2015 ancorare </w:t>
      </w:r>
      <w:r w:rsidR="00CD64BF" w:rsidRPr="00893F5E">
        <w:rPr>
          <w:rFonts w:ascii="Verdana" w:hAnsi="Verdana"/>
          <w:sz w:val="20"/>
        </w:rPr>
        <w:t>il fondo alla sola decurtazione avutasi nel 2014</w:t>
      </w:r>
      <w:r w:rsidR="003B0934">
        <w:rPr>
          <w:rFonts w:ascii="Verdana" w:hAnsi="Verdana"/>
          <w:sz w:val="20"/>
        </w:rPr>
        <w:t>,</w:t>
      </w:r>
      <w:r w:rsidRPr="00893F5E">
        <w:rPr>
          <w:rFonts w:ascii="Verdana" w:hAnsi="Verdana"/>
          <w:sz w:val="20"/>
        </w:rPr>
        <w:t xml:space="preserve"> riconducendolo ancora una volta al tetto pari al fondo 2010, si applicherebbe di fatto una proroga, ben oltre il limite del 31.12.2014 entro il quale cessa la sua efficacia, al meccanismo riduttivo del fondo stabilito nel periodo 2011-2014.</w:t>
      </w:r>
    </w:p>
    <w:p w:rsidR="00CD64BF" w:rsidRPr="00893F5E" w:rsidRDefault="00893F5E" w:rsidP="00DA6A4C">
      <w:pPr>
        <w:pStyle w:val="Corpotesto"/>
        <w:widowControl w:val="0"/>
        <w:spacing w:line="568" w:lineRule="exact"/>
        <w:ind w:firstLine="539"/>
        <w:rPr>
          <w:rFonts w:ascii="Verdana" w:hAnsi="Verdana"/>
          <w:sz w:val="20"/>
        </w:rPr>
      </w:pPr>
      <w:r w:rsidRPr="00893F5E">
        <w:rPr>
          <w:rFonts w:ascii="Verdana" w:hAnsi="Verdana"/>
          <w:sz w:val="20"/>
        </w:rPr>
        <w:t>Così ragionando</w:t>
      </w:r>
      <w:r w:rsidR="003B0934">
        <w:rPr>
          <w:rFonts w:ascii="Verdana" w:hAnsi="Verdana"/>
          <w:sz w:val="20"/>
        </w:rPr>
        <w:t>,</w:t>
      </w:r>
      <w:r w:rsidRPr="00893F5E">
        <w:rPr>
          <w:rFonts w:ascii="Verdana" w:hAnsi="Verdana"/>
          <w:sz w:val="20"/>
        </w:rPr>
        <w:t xml:space="preserve"> il blocco del fondo a quello del 2010 </w:t>
      </w:r>
      <w:r w:rsidR="00CD64BF" w:rsidRPr="00893F5E">
        <w:rPr>
          <w:rFonts w:ascii="Verdana" w:hAnsi="Verdana"/>
          <w:sz w:val="20"/>
        </w:rPr>
        <w:t>non avrebbe più un freno temporale, cristalli</w:t>
      </w:r>
      <w:r w:rsidR="003B0934">
        <w:rPr>
          <w:rFonts w:ascii="Verdana" w:hAnsi="Verdana"/>
          <w:sz w:val="20"/>
        </w:rPr>
        <w:t>z</w:t>
      </w:r>
      <w:r w:rsidR="00CD64BF" w:rsidRPr="00893F5E">
        <w:rPr>
          <w:rFonts w:ascii="Verdana" w:hAnsi="Verdana"/>
          <w:sz w:val="20"/>
        </w:rPr>
        <w:t xml:space="preserve">zandosi </w:t>
      </w:r>
      <w:r w:rsidRPr="00893F5E">
        <w:rPr>
          <w:rFonts w:ascii="Verdana" w:hAnsi="Verdana"/>
          <w:sz w:val="20"/>
        </w:rPr>
        <w:t>la base 2010 quale base fissa per la costruzione</w:t>
      </w:r>
      <w:r w:rsidR="00CD64BF" w:rsidRPr="00893F5E">
        <w:rPr>
          <w:rFonts w:ascii="Verdana" w:hAnsi="Verdana"/>
          <w:sz w:val="20"/>
        </w:rPr>
        <w:t xml:space="preserve"> del fondo contrattuale.</w:t>
      </w:r>
    </w:p>
    <w:p w:rsidR="00CD64BF" w:rsidRDefault="00893F5E" w:rsidP="00DA6A4C">
      <w:pPr>
        <w:pStyle w:val="Corpotesto"/>
        <w:widowControl w:val="0"/>
        <w:spacing w:line="568" w:lineRule="exact"/>
        <w:ind w:firstLine="539"/>
        <w:rPr>
          <w:rFonts w:ascii="Verdana" w:hAnsi="Verdana"/>
          <w:sz w:val="20"/>
        </w:rPr>
      </w:pPr>
      <w:r w:rsidRPr="00893F5E">
        <w:rPr>
          <w:rFonts w:ascii="Verdana" w:hAnsi="Verdana"/>
          <w:sz w:val="20"/>
        </w:rPr>
        <w:t>In merito</w:t>
      </w:r>
      <w:r w:rsidR="003B0934">
        <w:rPr>
          <w:rFonts w:ascii="Verdana" w:hAnsi="Verdana"/>
          <w:sz w:val="20"/>
        </w:rPr>
        <w:t>,</w:t>
      </w:r>
      <w:r w:rsidRPr="00893F5E">
        <w:rPr>
          <w:rFonts w:ascii="Verdana" w:hAnsi="Verdana"/>
          <w:sz w:val="20"/>
        </w:rPr>
        <w:t xml:space="preserve"> invece</w:t>
      </w:r>
      <w:r w:rsidR="003B0934">
        <w:rPr>
          <w:rFonts w:ascii="Verdana" w:hAnsi="Verdana"/>
          <w:sz w:val="20"/>
        </w:rPr>
        <w:t>,</w:t>
      </w:r>
      <w:r w:rsidRPr="00893F5E">
        <w:rPr>
          <w:rFonts w:ascii="Verdana" w:hAnsi="Verdana"/>
          <w:sz w:val="20"/>
        </w:rPr>
        <w:t xml:space="preserve"> all’individuazione del</w:t>
      </w:r>
      <w:r w:rsidR="00A61312" w:rsidRPr="00893F5E">
        <w:rPr>
          <w:rFonts w:ascii="Verdana" w:hAnsi="Verdana"/>
          <w:sz w:val="20"/>
        </w:rPr>
        <w:t>la base</w:t>
      </w:r>
      <w:r w:rsidR="00A61312">
        <w:rPr>
          <w:rFonts w:ascii="Verdana" w:hAnsi="Verdana"/>
          <w:sz w:val="20"/>
        </w:rPr>
        <w:t xml:space="preserve"> di calcolo su cui operare </w:t>
      </w:r>
      <w:r>
        <w:rPr>
          <w:rFonts w:ascii="Verdana" w:hAnsi="Verdana"/>
          <w:sz w:val="20"/>
        </w:rPr>
        <w:t>la riduzione nel 2015</w:t>
      </w:r>
      <w:r w:rsidR="003B0934">
        <w:rPr>
          <w:rFonts w:ascii="Verdana" w:hAnsi="Verdana"/>
          <w:sz w:val="20"/>
        </w:rPr>
        <w:t xml:space="preserve">, </w:t>
      </w:r>
      <w:r>
        <w:rPr>
          <w:rFonts w:ascii="Verdana" w:hAnsi="Verdana"/>
          <w:sz w:val="20"/>
        </w:rPr>
        <w:t>si ritiene che essa debba</w:t>
      </w:r>
      <w:r w:rsidR="00A61312">
        <w:rPr>
          <w:rFonts w:ascii="Verdana" w:hAnsi="Verdana"/>
          <w:sz w:val="20"/>
        </w:rPr>
        <w:t xml:space="preserve"> </w:t>
      </w:r>
      <w:r w:rsidR="008E6AF2">
        <w:rPr>
          <w:rFonts w:ascii="Verdana" w:hAnsi="Verdana"/>
          <w:sz w:val="20"/>
        </w:rPr>
        <w:t xml:space="preserve">necessariamente </w:t>
      </w:r>
      <w:r w:rsidR="00A61312">
        <w:rPr>
          <w:rFonts w:ascii="Verdana" w:hAnsi="Verdana"/>
          <w:sz w:val="20"/>
        </w:rPr>
        <w:t xml:space="preserve">essere quella del fondo quantificato secondo le regole contrattuali </w:t>
      </w:r>
      <w:r w:rsidR="003B0934">
        <w:rPr>
          <w:rFonts w:ascii="Verdana" w:hAnsi="Verdana"/>
          <w:sz w:val="20"/>
        </w:rPr>
        <w:t xml:space="preserve">              </w:t>
      </w:r>
      <w:r w:rsidR="00A61312">
        <w:rPr>
          <w:rFonts w:ascii="Verdana" w:hAnsi="Verdana"/>
          <w:sz w:val="20"/>
        </w:rPr>
        <w:t>(cfr. anche del</w:t>
      </w:r>
      <w:r w:rsidR="003B0934">
        <w:rPr>
          <w:rFonts w:ascii="Verdana" w:hAnsi="Verdana"/>
          <w:sz w:val="20"/>
        </w:rPr>
        <w:t>iberazione</w:t>
      </w:r>
      <w:r w:rsidR="00A61312">
        <w:rPr>
          <w:rFonts w:ascii="Verdana" w:hAnsi="Verdana"/>
          <w:sz w:val="20"/>
        </w:rPr>
        <w:t xml:space="preserve"> n. 97/PAR/2015, Sez</w:t>
      </w:r>
      <w:r w:rsidR="00712FFC">
        <w:rPr>
          <w:rFonts w:ascii="Verdana" w:hAnsi="Verdana"/>
          <w:sz w:val="20"/>
        </w:rPr>
        <w:t>ione</w:t>
      </w:r>
      <w:r w:rsidR="00A61312">
        <w:rPr>
          <w:rFonts w:ascii="Verdana" w:hAnsi="Verdana"/>
          <w:sz w:val="20"/>
        </w:rPr>
        <w:t xml:space="preserve"> </w:t>
      </w:r>
      <w:r w:rsidR="00712FFC">
        <w:rPr>
          <w:rFonts w:ascii="Verdana" w:hAnsi="Verdana"/>
          <w:sz w:val="20"/>
        </w:rPr>
        <w:t xml:space="preserve">regionale di controllo per la </w:t>
      </w:r>
      <w:r w:rsidR="00A61312">
        <w:rPr>
          <w:rFonts w:ascii="Verdana" w:hAnsi="Verdana"/>
          <w:sz w:val="20"/>
        </w:rPr>
        <w:t>Puglia, citata)</w:t>
      </w:r>
      <w:r w:rsidR="00CD64BF">
        <w:rPr>
          <w:rFonts w:ascii="Verdana" w:hAnsi="Verdana"/>
          <w:sz w:val="20"/>
        </w:rPr>
        <w:t>.</w:t>
      </w:r>
    </w:p>
    <w:p w:rsidR="004A3887" w:rsidRPr="00893F5E" w:rsidRDefault="008E6AF2" w:rsidP="00DA6A4C">
      <w:pPr>
        <w:pStyle w:val="Corpotesto"/>
        <w:widowControl w:val="0"/>
        <w:spacing w:line="568" w:lineRule="exact"/>
        <w:ind w:firstLine="539"/>
        <w:rPr>
          <w:rFonts w:ascii="Verdana" w:hAnsi="Verdana"/>
          <w:sz w:val="20"/>
        </w:rPr>
      </w:pPr>
      <w:r w:rsidRPr="00893F5E">
        <w:rPr>
          <w:rFonts w:ascii="Verdana" w:hAnsi="Verdana"/>
          <w:sz w:val="20"/>
        </w:rPr>
        <w:t>A ben guardare, poi,</w:t>
      </w:r>
      <w:r w:rsidR="00CD64BF" w:rsidRPr="00893F5E">
        <w:rPr>
          <w:rFonts w:ascii="Verdana" w:hAnsi="Verdana"/>
          <w:sz w:val="20"/>
        </w:rPr>
        <w:t xml:space="preserve"> la norma</w:t>
      </w:r>
      <w:r w:rsidRPr="00893F5E">
        <w:rPr>
          <w:rFonts w:ascii="Verdana" w:hAnsi="Verdana"/>
          <w:sz w:val="20"/>
        </w:rPr>
        <w:t>,</w:t>
      </w:r>
      <w:r w:rsidR="00CD64BF" w:rsidRPr="00893F5E">
        <w:rPr>
          <w:rFonts w:ascii="Verdana" w:hAnsi="Verdana"/>
          <w:sz w:val="20"/>
        </w:rPr>
        <w:t xml:space="preserve"> dall’</w:t>
      </w:r>
      <w:r w:rsidR="003B0934">
        <w:rPr>
          <w:rFonts w:ascii="Verdana" w:hAnsi="Verdana"/>
          <w:sz w:val="20"/>
        </w:rPr>
        <w:t>0</w:t>
      </w:r>
      <w:r w:rsidR="00CD64BF" w:rsidRPr="00893F5E">
        <w:rPr>
          <w:rFonts w:ascii="Verdana" w:hAnsi="Verdana"/>
          <w:sz w:val="20"/>
        </w:rPr>
        <w:t>1.</w:t>
      </w:r>
      <w:r w:rsidR="003B0934">
        <w:rPr>
          <w:rFonts w:ascii="Verdana" w:hAnsi="Verdana"/>
          <w:sz w:val="20"/>
        </w:rPr>
        <w:t>0</w:t>
      </w:r>
      <w:r w:rsidR="00CD64BF" w:rsidRPr="00893F5E">
        <w:rPr>
          <w:rFonts w:ascii="Verdana" w:hAnsi="Verdana"/>
          <w:sz w:val="20"/>
        </w:rPr>
        <w:t>1.2015, detta una condizione di calcolo del fondo migliorativa rispetto alla prece</w:t>
      </w:r>
      <w:r w:rsidR="004A3887" w:rsidRPr="00893F5E">
        <w:rPr>
          <w:rFonts w:ascii="Verdana" w:hAnsi="Verdana"/>
          <w:sz w:val="20"/>
        </w:rPr>
        <w:t>dente: se è vero che</w:t>
      </w:r>
      <w:r w:rsidR="00CD64BF" w:rsidRPr="00893F5E">
        <w:rPr>
          <w:rFonts w:ascii="Verdana" w:hAnsi="Verdana"/>
          <w:sz w:val="20"/>
        </w:rPr>
        <w:t xml:space="preserve"> dal 2011 al 2014 risultava bloccato </w:t>
      </w:r>
      <w:r w:rsidR="00A61312" w:rsidRPr="00893F5E">
        <w:rPr>
          <w:rFonts w:ascii="Verdana" w:hAnsi="Verdana"/>
          <w:sz w:val="20"/>
        </w:rPr>
        <w:t>il tetto massimo per le risorse annualmente destinate al tr</w:t>
      </w:r>
      <w:r w:rsidR="00CD64BF" w:rsidRPr="00893F5E">
        <w:rPr>
          <w:rFonts w:ascii="Verdana" w:hAnsi="Verdana"/>
          <w:sz w:val="20"/>
        </w:rPr>
        <w:t xml:space="preserve">attamento economico accessorio (non </w:t>
      </w:r>
      <w:r w:rsidR="00CD64BF" w:rsidRPr="00893F5E">
        <w:rPr>
          <w:rFonts w:ascii="Verdana" w:hAnsi="Verdana"/>
          <w:sz w:val="20"/>
        </w:rPr>
        <w:lastRenderedPageBreak/>
        <w:t>potendo il medesimo superare quello del 2010</w:t>
      </w:r>
      <w:r w:rsidR="004A3887" w:rsidRPr="00893F5E">
        <w:rPr>
          <w:rFonts w:ascii="Verdana" w:hAnsi="Verdana"/>
          <w:sz w:val="20"/>
        </w:rPr>
        <w:t>)</w:t>
      </w:r>
      <w:r w:rsidR="003B0934">
        <w:rPr>
          <w:rFonts w:ascii="Verdana" w:hAnsi="Verdana"/>
          <w:sz w:val="20"/>
        </w:rPr>
        <w:t>,</w:t>
      </w:r>
      <w:r w:rsidR="004A3887" w:rsidRPr="00893F5E">
        <w:rPr>
          <w:rFonts w:ascii="Verdana" w:hAnsi="Verdana"/>
          <w:sz w:val="20"/>
        </w:rPr>
        <w:t xml:space="preserve"> è pur vero che</w:t>
      </w:r>
      <w:r w:rsidR="00A61312" w:rsidRPr="00893F5E">
        <w:rPr>
          <w:rFonts w:ascii="Verdana" w:hAnsi="Verdana"/>
          <w:sz w:val="20"/>
        </w:rPr>
        <w:t xml:space="preserve"> dall’01.01.2015</w:t>
      </w:r>
      <w:r w:rsidR="00CD64BF" w:rsidRPr="00893F5E">
        <w:rPr>
          <w:rFonts w:ascii="Verdana" w:hAnsi="Verdana"/>
          <w:sz w:val="20"/>
        </w:rPr>
        <w:t xml:space="preserve"> riprende vigore il calcolo del fondo secondo i parametri contrattuali</w:t>
      </w:r>
      <w:r w:rsidR="00893F5E" w:rsidRPr="00893F5E">
        <w:rPr>
          <w:rFonts w:ascii="Verdana" w:hAnsi="Verdana"/>
          <w:sz w:val="20"/>
        </w:rPr>
        <w:t>.</w:t>
      </w:r>
    </w:p>
    <w:p w:rsidR="00454793" w:rsidRPr="00893F5E" w:rsidRDefault="004A3887" w:rsidP="00DA6A4C">
      <w:pPr>
        <w:pStyle w:val="Corpotesto"/>
        <w:widowControl w:val="0"/>
        <w:spacing w:line="568" w:lineRule="exact"/>
        <w:ind w:firstLine="539"/>
        <w:rPr>
          <w:rFonts w:ascii="Verdana" w:hAnsi="Verdana"/>
          <w:sz w:val="20"/>
        </w:rPr>
      </w:pPr>
      <w:r w:rsidRPr="00893F5E">
        <w:rPr>
          <w:rFonts w:ascii="Verdana" w:hAnsi="Verdana"/>
          <w:sz w:val="20"/>
        </w:rPr>
        <w:t>Su t</w:t>
      </w:r>
      <w:r w:rsidR="00CD64BF" w:rsidRPr="00893F5E">
        <w:rPr>
          <w:rFonts w:ascii="Verdana" w:hAnsi="Verdana"/>
          <w:sz w:val="20"/>
        </w:rPr>
        <w:t xml:space="preserve">ale </w:t>
      </w:r>
      <w:r w:rsidR="0094500C" w:rsidRPr="00893F5E">
        <w:rPr>
          <w:rFonts w:ascii="Verdana" w:hAnsi="Verdana"/>
          <w:sz w:val="20"/>
        </w:rPr>
        <w:t xml:space="preserve">base andranno </w:t>
      </w:r>
      <w:r w:rsidRPr="00893F5E">
        <w:rPr>
          <w:rFonts w:ascii="Verdana" w:hAnsi="Verdana"/>
          <w:sz w:val="20"/>
        </w:rPr>
        <w:t>ap</w:t>
      </w:r>
      <w:r w:rsidR="0094500C" w:rsidRPr="00893F5E">
        <w:rPr>
          <w:rFonts w:ascii="Verdana" w:hAnsi="Verdana"/>
          <w:sz w:val="20"/>
        </w:rPr>
        <w:t>plicate le decurtazioni</w:t>
      </w:r>
      <w:r w:rsidR="008E6AF2" w:rsidRPr="00893F5E">
        <w:rPr>
          <w:rFonts w:ascii="Verdana" w:hAnsi="Verdana"/>
          <w:sz w:val="20"/>
        </w:rPr>
        <w:t>, il cui importo si cristallizzerà</w:t>
      </w:r>
      <w:r w:rsidRPr="00893F5E">
        <w:rPr>
          <w:rFonts w:ascii="Verdana" w:hAnsi="Verdana"/>
          <w:sz w:val="20"/>
        </w:rPr>
        <w:t xml:space="preserve"> per gli anni futuri. L</w:t>
      </w:r>
      <w:r w:rsidR="0094500C" w:rsidRPr="00893F5E">
        <w:rPr>
          <w:rFonts w:ascii="Verdana" w:hAnsi="Verdana"/>
          <w:sz w:val="20"/>
        </w:rPr>
        <w:t>a limitazione si sposta</w:t>
      </w:r>
      <w:r w:rsidR="008E6AF2" w:rsidRPr="00893F5E">
        <w:rPr>
          <w:rFonts w:ascii="Verdana" w:hAnsi="Verdana"/>
          <w:sz w:val="20"/>
        </w:rPr>
        <w:t>, dunque,</w:t>
      </w:r>
      <w:r w:rsidR="0094500C" w:rsidRPr="00893F5E">
        <w:rPr>
          <w:rFonts w:ascii="Verdana" w:hAnsi="Verdana"/>
          <w:sz w:val="20"/>
        </w:rPr>
        <w:t xml:space="preserve"> dal tetto alle decurtazioni</w:t>
      </w:r>
      <w:r w:rsidR="008E6AF2" w:rsidRPr="00893F5E">
        <w:rPr>
          <w:rFonts w:ascii="Verdana" w:hAnsi="Verdana"/>
          <w:sz w:val="20"/>
        </w:rPr>
        <w:t>,</w:t>
      </w:r>
      <w:r w:rsidR="0094500C" w:rsidRPr="00893F5E">
        <w:rPr>
          <w:rFonts w:ascii="Verdana" w:hAnsi="Verdana"/>
          <w:sz w:val="20"/>
        </w:rPr>
        <w:t xml:space="preserve"> </w:t>
      </w:r>
      <w:r w:rsidRPr="00893F5E">
        <w:rPr>
          <w:rFonts w:ascii="Verdana" w:hAnsi="Verdana"/>
          <w:sz w:val="20"/>
        </w:rPr>
        <w:t>che diventano</w:t>
      </w:r>
      <w:r w:rsidR="00454793" w:rsidRPr="00893F5E">
        <w:rPr>
          <w:rFonts w:ascii="Verdana" w:hAnsi="Verdana"/>
          <w:sz w:val="20"/>
        </w:rPr>
        <w:t xml:space="preserve"> permanent</w:t>
      </w:r>
      <w:r w:rsidRPr="00893F5E">
        <w:rPr>
          <w:rFonts w:ascii="Verdana" w:hAnsi="Verdana"/>
          <w:sz w:val="20"/>
        </w:rPr>
        <w:t>i</w:t>
      </w:r>
      <w:r w:rsidR="00454793" w:rsidRPr="00893F5E">
        <w:rPr>
          <w:rFonts w:ascii="Verdana" w:hAnsi="Verdana"/>
          <w:sz w:val="20"/>
        </w:rPr>
        <w:t xml:space="preserve"> e non </w:t>
      </w:r>
      <w:r w:rsidR="008E6AF2" w:rsidRPr="00893F5E">
        <w:rPr>
          <w:rFonts w:ascii="Verdana" w:hAnsi="Verdana"/>
          <w:sz w:val="20"/>
        </w:rPr>
        <w:t>più recuperabili</w:t>
      </w:r>
      <w:r w:rsidR="00454793" w:rsidRPr="00893F5E">
        <w:rPr>
          <w:rFonts w:ascii="Verdana" w:hAnsi="Verdana"/>
          <w:sz w:val="20"/>
        </w:rPr>
        <w:t>.</w:t>
      </w:r>
    </w:p>
    <w:p w:rsidR="00454793" w:rsidRPr="00A71220" w:rsidRDefault="00454793" w:rsidP="00B65179">
      <w:pPr>
        <w:pStyle w:val="Corpotesto"/>
        <w:widowControl w:val="0"/>
        <w:spacing w:line="567" w:lineRule="atLeast"/>
        <w:ind w:firstLine="539"/>
        <w:rPr>
          <w:rFonts w:ascii="Verdana" w:hAnsi="Verdana"/>
          <w:sz w:val="20"/>
        </w:rPr>
      </w:pPr>
      <w:r>
        <w:rPr>
          <w:rFonts w:ascii="Verdana" w:hAnsi="Verdana"/>
          <w:sz w:val="20"/>
        </w:rPr>
        <w:t xml:space="preserve">Solo con tale interpretazione la disposizione raggiunge l’obiettivo di contenimento </w:t>
      </w:r>
      <w:r w:rsidR="00FB0F61">
        <w:rPr>
          <w:rFonts w:ascii="Verdana" w:hAnsi="Verdana"/>
          <w:sz w:val="20"/>
        </w:rPr>
        <w:t>che si era originariamente prefissata; essa appare l’unica percorribile, co</w:t>
      </w:r>
      <w:r w:rsidR="00E00556">
        <w:rPr>
          <w:rFonts w:ascii="Verdana" w:hAnsi="Verdana"/>
          <w:sz w:val="20"/>
        </w:rPr>
        <w:t>nforme</w:t>
      </w:r>
      <w:r w:rsidR="00FB0F61">
        <w:rPr>
          <w:rFonts w:ascii="Verdana" w:hAnsi="Verdana"/>
          <w:sz w:val="20"/>
        </w:rPr>
        <w:t xml:space="preserve">mente al </w:t>
      </w:r>
      <w:r w:rsidR="002C27CC">
        <w:rPr>
          <w:rFonts w:ascii="Verdana" w:hAnsi="Verdana"/>
          <w:sz w:val="20"/>
        </w:rPr>
        <w:t>dato</w:t>
      </w:r>
      <w:r w:rsidR="005F4C56">
        <w:rPr>
          <w:rFonts w:ascii="Verdana" w:hAnsi="Verdana"/>
          <w:sz w:val="20"/>
        </w:rPr>
        <w:t xml:space="preserve"> </w:t>
      </w:r>
      <w:r w:rsidR="00FB0F61" w:rsidRPr="005F4C56">
        <w:rPr>
          <w:rFonts w:ascii="Verdana" w:hAnsi="Verdana"/>
          <w:sz w:val="20"/>
        </w:rPr>
        <w:t>letterale</w:t>
      </w:r>
      <w:r w:rsidR="00FB0F61">
        <w:rPr>
          <w:rFonts w:ascii="Verdana" w:hAnsi="Verdana"/>
          <w:sz w:val="20"/>
        </w:rPr>
        <w:t xml:space="preserve"> della norma ed alla coerenza intrinseca della stessa, ten</w:t>
      </w:r>
      <w:r w:rsidR="00E00556">
        <w:rPr>
          <w:rFonts w:ascii="Verdana" w:hAnsi="Verdana"/>
          <w:sz w:val="20"/>
        </w:rPr>
        <w:t>uto</w:t>
      </w:r>
      <w:r w:rsidR="00FB0F61">
        <w:rPr>
          <w:rFonts w:ascii="Verdana" w:hAnsi="Verdana"/>
          <w:sz w:val="20"/>
        </w:rPr>
        <w:t xml:space="preserve"> conto </w:t>
      </w:r>
      <w:r w:rsidR="001458A4">
        <w:rPr>
          <w:rFonts w:ascii="Verdana" w:hAnsi="Verdana"/>
          <w:sz w:val="20"/>
        </w:rPr>
        <w:t>che dal 2011 al 2014 la diminuzione dei fondi è stata contenuta attraverso la dinamica tra assunzioni e cessazioni di personale, con u</w:t>
      </w:r>
      <w:r w:rsidR="0094500C">
        <w:rPr>
          <w:rFonts w:ascii="Verdana" w:hAnsi="Verdana"/>
          <w:sz w:val="20"/>
        </w:rPr>
        <w:t xml:space="preserve">n tetto massimo fissato al </w:t>
      </w:r>
      <w:r w:rsidR="0094500C" w:rsidRPr="00A71220">
        <w:rPr>
          <w:rFonts w:ascii="Verdana" w:hAnsi="Verdana"/>
          <w:sz w:val="20"/>
        </w:rPr>
        <w:t>2010, mentre dall’</w:t>
      </w:r>
      <w:r w:rsidR="003B0934">
        <w:rPr>
          <w:rFonts w:ascii="Verdana" w:hAnsi="Verdana"/>
          <w:sz w:val="20"/>
        </w:rPr>
        <w:t>0</w:t>
      </w:r>
      <w:r w:rsidR="0094500C" w:rsidRPr="00A71220">
        <w:rPr>
          <w:rFonts w:ascii="Verdana" w:hAnsi="Verdana"/>
          <w:sz w:val="20"/>
        </w:rPr>
        <w:t>1.</w:t>
      </w:r>
      <w:r w:rsidR="003B0934">
        <w:rPr>
          <w:rFonts w:ascii="Verdana" w:hAnsi="Verdana"/>
          <w:sz w:val="20"/>
        </w:rPr>
        <w:t>0</w:t>
      </w:r>
      <w:r w:rsidR="0094500C" w:rsidRPr="00A71220">
        <w:rPr>
          <w:rFonts w:ascii="Verdana" w:hAnsi="Verdana"/>
          <w:sz w:val="20"/>
        </w:rPr>
        <w:t>1.2015</w:t>
      </w:r>
      <w:r w:rsidR="008E6AF2" w:rsidRPr="00A71220">
        <w:rPr>
          <w:rFonts w:ascii="Verdana" w:hAnsi="Verdana"/>
          <w:sz w:val="20"/>
        </w:rPr>
        <w:t>,</w:t>
      </w:r>
      <w:r w:rsidR="0094500C" w:rsidRPr="00A71220">
        <w:rPr>
          <w:rFonts w:ascii="Verdana" w:hAnsi="Verdana"/>
          <w:sz w:val="20"/>
        </w:rPr>
        <w:t xml:space="preserve"> pur ripristinando la dinamica contrattuale dei fondi l’obiettivo del contenimento della spesa </w:t>
      </w:r>
      <w:r w:rsidR="008E6AF2" w:rsidRPr="00A71220">
        <w:rPr>
          <w:rFonts w:ascii="Verdana" w:hAnsi="Verdana"/>
          <w:sz w:val="20"/>
        </w:rPr>
        <w:t xml:space="preserve">è perseguito </w:t>
      </w:r>
      <w:r w:rsidR="0094500C" w:rsidRPr="00A71220">
        <w:rPr>
          <w:rFonts w:ascii="Verdana" w:hAnsi="Verdana"/>
          <w:sz w:val="20"/>
        </w:rPr>
        <w:t>attraverso il conteggio di una decurtazione fissa pari alle decurtazioni e</w:t>
      </w:r>
      <w:r w:rsidR="003B0934">
        <w:rPr>
          <w:rFonts w:ascii="Verdana" w:hAnsi="Verdana"/>
          <w:sz w:val="20"/>
        </w:rPr>
        <w:t>ffettuate nel periodo 2011-2014.</w:t>
      </w:r>
    </w:p>
    <w:p w:rsidR="00B65179" w:rsidRPr="00A71220" w:rsidRDefault="0094500C" w:rsidP="00B65179">
      <w:pPr>
        <w:pStyle w:val="Corpotesto"/>
        <w:widowControl w:val="0"/>
        <w:spacing w:line="567" w:lineRule="atLeast"/>
        <w:ind w:firstLine="539"/>
        <w:rPr>
          <w:rFonts w:ascii="Verdana" w:hAnsi="Verdana"/>
          <w:sz w:val="20"/>
        </w:rPr>
      </w:pPr>
      <w:r w:rsidRPr="00A71220">
        <w:rPr>
          <w:rFonts w:ascii="Verdana" w:hAnsi="Verdana"/>
          <w:sz w:val="20"/>
        </w:rPr>
        <w:t xml:space="preserve">Tale interpretazione come </w:t>
      </w:r>
      <w:r w:rsidR="00B65179" w:rsidRPr="00A71220">
        <w:rPr>
          <w:rFonts w:ascii="Verdana" w:hAnsi="Verdana"/>
          <w:sz w:val="20"/>
        </w:rPr>
        <w:t xml:space="preserve">già </w:t>
      </w:r>
      <w:r w:rsidRPr="00A71220">
        <w:rPr>
          <w:rFonts w:ascii="Verdana" w:hAnsi="Verdana"/>
          <w:sz w:val="20"/>
        </w:rPr>
        <w:t>affermato dalla Sezione Puglia</w:t>
      </w:r>
      <w:r w:rsidR="00B65179" w:rsidRPr="00A71220">
        <w:rPr>
          <w:rFonts w:ascii="Verdana" w:hAnsi="Verdana"/>
          <w:sz w:val="20"/>
        </w:rPr>
        <w:t>, coerente con la formulazione letterale della norma, appare preferibile per varie ragioni:</w:t>
      </w:r>
    </w:p>
    <w:p w:rsidR="00B65179" w:rsidRPr="004B65F5" w:rsidRDefault="00B65179" w:rsidP="00B65179">
      <w:pPr>
        <w:pStyle w:val="Corpotesto"/>
        <w:widowControl w:val="0"/>
        <w:spacing w:line="567" w:lineRule="atLeast"/>
        <w:ind w:firstLine="539"/>
        <w:rPr>
          <w:rFonts w:ascii="Verdana" w:hAnsi="Verdana"/>
          <w:sz w:val="20"/>
        </w:rPr>
      </w:pPr>
      <w:r w:rsidRPr="00A71220">
        <w:rPr>
          <w:rFonts w:ascii="Verdana" w:hAnsi="Verdana"/>
          <w:i/>
          <w:sz w:val="20"/>
        </w:rPr>
        <w:t xml:space="preserve">• </w:t>
      </w:r>
      <w:r w:rsidRPr="004B65F5">
        <w:rPr>
          <w:rFonts w:ascii="Verdana" w:hAnsi="Verdana"/>
          <w:sz w:val="20"/>
        </w:rPr>
        <w:t>evita un sostanziale duplice taglio delle risorse non espressamente previsto dal legislatore (in quanto il fondo 2014 già risentiva delle riduzioni apportate nel precedente periodo 2011/2013);</w:t>
      </w:r>
    </w:p>
    <w:p w:rsidR="00B65179" w:rsidRPr="004B65F5" w:rsidRDefault="00B65179" w:rsidP="003B0934">
      <w:pPr>
        <w:pStyle w:val="Corpotesto"/>
        <w:widowControl w:val="0"/>
        <w:spacing w:line="567" w:lineRule="atLeast"/>
        <w:ind w:firstLine="539"/>
        <w:rPr>
          <w:rFonts w:ascii="Verdana" w:hAnsi="Verdana"/>
          <w:sz w:val="20"/>
        </w:rPr>
      </w:pPr>
      <w:r w:rsidRPr="004B65F5">
        <w:rPr>
          <w:rFonts w:ascii="Verdana" w:hAnsi="Verdana"/>
          <w:sz w:val="20"/>
        </w:rPr>
        <w:t xml:space="preserve">• esclude in radice la possibilità che si possa giungere ad un fondo </w:t>
      </w:r>
      <w:r w:rsidRPr="004B65F5">
        <w:rPr>
          <w:rFonts w:ascii="Verdana" w:hAnsi="Verdana"/>
          <w:sz w:val="20"/>
        </w:rPr>
        <w:lastRenderedPageBreak/>
        <w:t>pari a zero oppure negativo;</w:t>
      </w:r>
    </w:p>
    <w:p w:rsidR="00B65179" w:rsidRPr="004B65F5" w:rsidRDefault="00B65179" w:rsidP="003B0934">
      <w:pPr>
        <w:pStyle w:val="Corpotesto"/>
        <w:widowControl w:val="0"/>
        <w:spacing w:line="567" w:lineRule="atLeast"/>
        <w:ind w:firstLine="539"/>
        <w:rPr>
          <w:rFonts w:ascii="Verdana" w:hAnsi="Verdana"/>
          <w:sz w:val="20"/>
        </w:rPr>
      </w:pPr>
      <w:r w:rsidRPr="004B65F5">
        <w:rPr>
          <w:rFonts w:ascii="Verdana" w:hAnsi="Verdana"/>
          <w:sz w:val="20"/>
        </w:rPr>
        <w:t>• risulta conforme alla volontà del legislatore di non perpetuare, dopo il 31 dicembre 2014, il limite del fondo per l’anno 2010 e l’obbligo di riduzione in misura proporzionale alla riduzione del personale in servizio;</w:t>
      </w:r>
    </w:p>
    <w:p w:rsidR="00B65179" w:rsidRPr="004B65F5" w:rsidRDefault="00B65179" w:rsidP="003B0934">
      <w:pPr>
        <w:pStyle w:val="Corpotesto"/>
        <w:widowControl w:val="0"/>
        <w:spacing w:line="567" w:lineRule="atLeast"/>
        <w:ind w:firstLine="539"/>
        <w:rPr>
          <w:rFonts w:ascii="Verdana" w:hAnsi="Verdana"/>
          <w:sz w:val="20"/>
        </w:rPr>
      </w:pPr>
      <w:r w:rsidRPr="004B65F5">
        <w:rPr>
          <w:rFonts w:ascii="Verdana" w:hAnsi="Verdana"/>
          <w:sz w:val="20"/>
        </w:rPr>
        <w:t>• apporta una decurtazione corrispondente</w:t>
      </w:r>
      <w:r w:rsidRPr="00A71220">
        <w:rPr>
          <w:rFonts w:ascii="Verdana" w:hAnsi="Verdana"/>
          <w:i/>
          <w:sz w:val="20"/>
        </w:rPr>
        <w:t xml:space="preserve"> “alle riduzioni operate per effetto del precedente periodo”, </w:t>
      </w:r>
      <w:r w:rsidRPr="004B65F5">
        <w:rPr>
          <w:rFonts w:ascii="Verdana" w:hAnsi="Verdana"/>
          <w:sz w:val="20"/>
        </w:rPr>
        <w:t>come testualmente indicato dal legislatore, anziché alla riduzione operata nel solo precedente esercizio 2014.</w:t>
      </w:r>
    </w:p>
    <w:p w:rsidR="00B65179" w:rsidRDefault="00B65179" w:rsidP="004B722F">
      <w:pPr>
        <w:pStyle w:val="Corpotesto"/>
        <w:widowControl w:val="0"/>
        <w:spacing w:after="360" w:line="567" w:lineRule="atLeast"/>
        <w:ind w:firstLine="539"/>
        <w:rPr>
          <w:rFonts w:ascii="Verdana" w:hAnsi="Verdana"/>
          <w:sz w:val="20"/>
        </w:rPr>
      </w:pPr>
      <w:r w:rsidRPr="00A71220">
        <w:rPr>
          <w:rFonts w:ascii="Verdana" w:hAnsi="Verdana"/>
          <w:sz w:val="20"/>
        </w:rPr>
        <w:t xml:space="preserve">Nell’esempio </w:t>
      </w:r>
      <w:r w:rsidR="008E6AF2" w:rsidRPr="00A71220">
        <w:rPr>
          <w:rFonts w:ascii="Verdana" w:hAnsi="Verdana"/>
          <w:sz w:val="20"/>
        </w:rPr>
        <w:t>de</w:t>
      </w:r>
      <w:r w:rsidRPr="00A71220">
        <w:rPr>
          <w:rFonts w:ascii="Verdana" w:hAnsi="Verdana"/>
          <w:sz w:val="20"/>
        </w:rPr>
        <w:t xml:space="preserve">ll’Amministrazione richiedente </w:t>
      </w:r>
      <w:r w:rsidR="00494320" w:rsidRPr="00A71220">
        <w:rPr>
          <w:rFonts w:ascii="Verdana" w:hAnsi="Verdana"/>
          <w:sz w:val="20"/>
        </w:rPr>
        <w:t>è stata ipotizzata la seguente situazione:</w:t>
      </w:r>
    </w:p>
    <w:tbl>
      <w:tblPr>
        <w:tblStyle w:val="Grigliatabella"/>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410"/>
        <w:gridCol w:w="992"/>
        <w:gridCol w:w="993"/>
        <w:gridCol w:w="992"/>
        <w:gridCol w:w="992"/>
        <w:gridCol w:w="992"/>
      </w:tblGrid>
      <w:tr w:rsidR="0013677A" w:rsidRPr="00011413" w:rsidTr="0013677A">
        <w:trPr>
          <w:trHeight w:val="563"/>
        </w:trPr>
        <w:tc>
          <w:tcPr>
            <w:tcW w:w="2410" w:type="dxa"/>
            <w:tcBorders>
              <w:top w:val="dotted" w:sz="4" w:space="0" w:color="auto"/>
            </w:tcBorders>
            <w:vAlign w:val="center"/>
          </w:tcPr>
          <w:p w:rsidR="009F01D8" w:rsidRPr="00011413" w:rsidRDefault="009F01D8" w:rsidP="009F01D8">
            <w:pPr>
              <w:pStyle w:val="Corpotesto"/>
              <w:widowControl w:val="0"/>
              <w:spacing w:line="240" w:lineRule="auto"/>
              <w:rPr>
                <w:rFonts w:ascii="Verdana" w:hAnsi="Verdana"/>
                <w:sz w:val="16"/>
                <w:szCs w:val="16"/>
              </w:rPr>
            </w:pPr>
          </w:p>
        </w:tc>
        <w:tc>
          <w:tcPr>
            <w:tcW w:w="992" w:type="dxa"/>
            <w:tcBorders>
              <w:top w:val="dotted" w:sz="4" w:space="0" w:color="auto"/>
            </w:tcBorders>
            <w:vAlign w:val="center"/>
          </w:tcPr>
          <w:p w:rsidR="009F01D8" w:rsidRPr="009F01D8" w:rsidRDefault="009F01D8" w:rsidP="009F01D8">
            <w:pPr>
              <w:spacing w:after="0" w:line="240" w:lineRule="auto"/>
              <w:jc w:val="center"/>
              <w:rPr>
                <w:rFonts w:ascii="Verdana" w:hAnsi="Verdana"/>
                <w:b/>
                <w:sz w:val="16"/>
                <w:szCs w:val="16"/>
              </w:rPr>
            </w:pPr>
            <w:r w:rsidRPr="009F01D8">
              <w:rPr>
                <w:rFonts w:ascii="Verdana" w:hAnsi="Verdana"/>
                <w:b/>
                <w:sz w:val="16"/>
                <w:szCs w:val="16"/>
              </w:rPr>
              <w:t>2010 (tetto)</w:t>
            </w:r>
          </w:p>
        </w:tc>
        <w:tc>
          <w:tcPr>
            <w:tcW w:w="993" w:type="dxa"/>
            <w:tcBorders>
              <w:top w:val="dotted" w:sz="4" w:space="0" w:color="auto"/>
            </w:tcBorders>
            <w:vAlign w:val="center"/>
          </w:tcPr>
          <w:p w:rsidR="009F01D8" w:rsidRPr="009F01D8" w:rsidRDefault="009F01D8" w:rsidP="009F01D8">
            <w:pPr>
              <w:spacing w:after="0" w:line="240" w:lineRule="auto"/>
              <w:jc w:val="center"/>
              <w:rPr>
                <w:rFonts w:ascii="Verdana" w:hAnsi="Verdana"/>
                <w:b/>
                <w:sz w:val="16"/>
                <w:szCs w:val="16"/>
              </w:rPr>
            </w:pPr>
            <w:r w:rsidRPr="009F01D8">
              <w:rPr>
                <w:rFonts w:ascii="Verdana" w:hAnsi="Verdana"/>
                <w:b/>
                <w:sz w:val="16"/>
                <w:szCs w:val="16"/>
              </w:rPr>
              <w:t>2011</w:t>
            </w:r>
          </w:p>
        </w:tc>
        <w:tc>
          <w:tcPr>
            <w:tcW w:w="992" w:type="dxa"/>
            <w:tcBorders>
              <w:top w:val="dotted" w:sz="4" w:space="0" w:color="auto"/>
            </w:tcBorders>
            <w:vAlign w:val="center"/>
          </w:tcPr>
          <w:p w:rsidR="009F01D8" w:rsidRPr="009F01D8" w:rsidRDefault="009F01D8" w:rsidP="009F01D8">
            <w:pPr>
              <w:spacing w:after="0" w:line="240" w:lineRule="auto"/>
              <w:jc w:val="center"/>
              <w:rPr>
                <w:rFonts w:ascii="Verdana" w:hAnsi="Verdana"/>
                <w:b/>
                <w:sz w:val="16"/>
                <w:szCs w:val="16"/>
              </w:rPr>
            </w:pPr>
            <w:r w:rsidRPr="009F01D8">
              <w:rPr>
                <w:rFonts w:ascii="Verdana" w:hAnsi="Verdana"/>
                <w:b/>
                <w:sz w:val="16"/>
                <w:szCs w:val="16"/>
              </w:rPr>
              <w:t>2012</w:t>
            </w:r>
          </w:p>
        </w:tc>
        <w:tc>
          <w:tcPr>
            <w:tcW w:w="992" w:type="dxa"/>
            <w:tcBorders>
              <w:top w:val="dotted" w:sz="4" w:space="0" w:color="auto"/>
            </w:tcBorders>
            <w:vAlign w:val="center"/>
          </w:tcPr>
          <w:p w:rsidR="009F01D8" w:rsidRPr="009F01D8" w:rsidRDefault="009F01D8" w:rsidP="009F01D8">
            <w:pPr>
              <w:spacing w:after="0" w:line="240" w:lineRule="auto"/>
              <w:jc w:val="center"/>
              <w:rPr>
                <w:rFonts w:ascii="Verdana" w:hAnsi="Verdana"/>
                <w:b/>
                <w:sz w:val="16"/>
                <w:szCs w:val="16"/>
              </w:rPr>
            </w:pPr>
            <w:r w:rsidRPr="009F01D8">
              <w:rPr>
                <w:rFonts w:ascii="Verdana" w:hAnsi="Verdana"/>
                <w:b/>
                <w:sz w:val="16"/>
                <w:szCs w:val="16"/>
              </w:rPr>
              <w:t>2013</w:t>
            </w:r>
          </w:p>
        </w:tc>
        <w:tc>
          <w:tcPr>
            <w:tcW w:w="992" w:type="dxa"/>
            <w:tcBorders>
              <w:top w:val="dotted" w:sz="4" w:space="0" w:color="auto"/>
            </w:tcBorders>
            <w:vAlign w:val="center"/>
          </w:tcPr>
          <w:p w:rsidR="009F01D8" w:rsidRPr="009F01D8" w:rsidRDefault="009F01D8" w:rsidP="009F01D8">
            <w:pPr>
              <w:spacing w:after="0" w:line="240" w:lineRule="auto"/>
              <w:jc w:val="center"/>
              <w:rPr>
                <w:rFonts w:ascii="Verdana" w:hAnsi="Verdana"/>
                <w:b/>
                <w:sz w:val="16"/>
                <w:szCs w:val="16"/>
              </w:rPr>
            </w:pPr>
            <w:r w:rsidRPr="009F01D8">
              <w:rPr>
                <w:rFonts w:ascii="Verdana" w:hAnsi="Verdana"/>
                <w:b/>
                <w:sz w:val="16"/>
                <w:szCs w:val="16"/>
              </w:rPr>
              <w:t>2014</w:t>
            </w:r>
          </w:p>
        </w:tc>
      </w:tr>
      <w:tr w:rsidR="0013677A" w:rsidRPr="00011413" w:rsidTr="0013677A">
        <w:tc>
          <w:tcPr>
            <w:tcW w:w="2410" w:type="dxa"/>
            <w:tcBorders>
              <w:top w:val="dotted" w:sz="4" w:space="0" w:color="auto"/>
            </w:tcBorders>
            <w:vAlign w:val="center"/>
          </w:tcPr>
          <w:p w:rsidR="00A26249" w:rsidRPr="00011413" w:rsidRDefault="003B0934" w:rsidP="0013677A">
            <w:pPr>
              <w:pStyle w:val="Corpotesto"/>
              <w:widowControl w:val="0"/>
              <w:spacing w:line="240" w:lineRule="auto"/>
              <w:rPr>
                <w:rFonts w:ascii="Verdana" w:hAnsi="Verdana"/>
                <w:sz w:val="16"/>
                <w:szCs w:val="16"/>
              </w:rPr>
            </w:pPr>
            <w:r w:rsidRPr="00011413">
              <w:rPr>
                <w:rFonts w:ascii="Verdana" w:hAnsi="Verdana"/>
                <w:sz w:val="16"/>
                <w:szCs w:val="16"/>
              </w:rPr>
              <w:t>V</w:t>
            </w:r>
            <w:r w:rsidR="00A26249" w:rsidRPr="00011413">
              <w:rPr>
                <w:rFonts w:ascii="Verdana" w:hAnsi="Verdana"/>
                <w:sz w:val="16"/>
                <w:szCs w:val="16"/>
              </w:rPr>
              <w:t>alore del fondo calcolato secondo le regole contrattuali (euro)</w:t>
            </w:r>
          </w:p>
        </w:tc>
        <w:tc>
          <w:tcPr>
            <w:tcW w:w="992" w:type="dxa"/>
            <w:tcBorders>
              <w:top w:val="dotted" w:sz="4" w:space="0" w:color="auto"/>
            </w:tcBorders>
            <w:vAlign w:val="center"/>
          </w:tcPr>
          <w:p w:rsidR="00A26249" w:rsidRPr="00011413" w:rsidRDefault="00A26249" w:rsidP="003B0934">
            <w:pPr>
              <w:spacing w:line="567" w:lineRule="atLeast"/>
              <w:jc w:val="right"/>
              <w:rPr>
                <w:rFonts w:ascii="Verdana" w:hAnsi="Verdana"/>
                <w:sz w:val="16"/>
                <w:szCs w:val="16"/>
              </w:rPr>
            </w:pPr>
            <w:r w:rsidRPr="00011413">
              <w:rPr>
                <w:rFonts w:ascii="Verdana" w:hAnsi="Verdana"/>
                <w:sz w:val="16"/>
                <w:szCs w:val="16"/>
              </w:rPr>
              <w:t>1</w:t>
            </w:r>
            <w:r w:rsidR="002E376E">
              <w:rPr>
                <w:rFonts w:ascii="Verdana" w:hAnsi="Verdana"/>
                <w:sz w:val="16"/>
                <w:szCs w:val="16"/>
              </w:rPr>
              <w:t>.</w:t>
            </w:r>
            <w:r w:rsidRPr="00011413">
              <w:rPr>
                <w:rFonts w:ascii="Verdana" w:hAnsi="Verdana"/>
                <w:sz w:val="16"/>
                <w:szCs w:val="16"/>
              </w:rPr>
              <w:t>000,00</w:t>
            </w:r>
          </w:p>
        </w:tc>
        <w:tc>
          <w:tcPr>
            <w:tcW w:w="993" w:type="dxa"/>
            <w:tcBorders>
              <w:top w:val="dotted" w:sz="4" w:space="0" w:color="auto"/>
            </w:tcBorders>
            <w:vAlign w:val="center"/>
          </w:tcPr>
          <w:p w:rsidR="00A26249" w:rsidRPr="00011413" w:rsidRDefault="00A26249" w:rsidP="003B0934">
            <w:pPr>
              <w:spacing w:line="567" w:lineRule="atLeast"/>
              <w:jc w:val="right"/>
              <w:rPr>
                <w:rFonts w:ascii="Verdana" w:hAnsi="Verdana"/>
                <w:sz w:val="16"/>
                <w:szCs w:val="16"/>
              </w:rPr>
            </w:pPr>
            <w:r w:rsidRPr="00011413">
              <w:rPr>
                <w:rFonts w:ascii="Verdana" w:hAnsi="Verdana"/>
                <w:sz w:val="16"/>
                <w:szCs w:val="16"/>
              </w:rPr>
              <w:t>1</w:t>
            </w:r>
            <w:r w:rsidR="002E376E">
              <w:rPr>
                <w:rFonts w:ascii="Verdana" w:hAnsi="Verdana"/>
                <w:sz w:val="16"/>
                <w:szCs w:val="16"/>
              </w:rPr>
              <w:t>.</w:t>
            </w:r>
            <w:r w:rsidRPr="00011413">
              <w:rPr>
                <w:rFonts w:ascii="Verdana" w:hAnsi="Verdana"/>
                <w:sz w:val="16"/>
                <w:szCs w:val="16"/>
              </w:rPr>
              <w:t>100,00</w:t>
            </w:r>
          </w:p>
        </w:tc>
        <w:tc>
          <w:tcPr>
            <w:tcW w:w="992" w:type="dxa"/>
            <w:tcBorders>
              <w:top w:val="dotted" w:sz="4" w:space="0" w:color="auto"/>
            </w:tcBorders>
            <w:vAlign w:val="center"/>
          </w:tcPr>
          <w:p w:rsidR="00A26249" w:rsidRPr="00011413" w:rsidRDefault="00A26249" w:rsidP="003B0934">
            <w:pPr>
              <w:spacing w:line="567" w:lineRule="atLeast"/>
              <w:jc w:val="right"/>
              <w:rPr>
                <w:rFonts w:ascii="Verdana" w:hAnsi="Verdana"/>
                <w:sz w:val="16"/>
                <w:szCs w:val="16"/>
              </w:rPr>
            </w:pPr>
            <w:r w:rsidRPr="00011413">
              <w:rPr>
                <w:rFonts w:ascii="Verdana" w:hAnsi="Verdana"/>
                <w:sz w:val="16"/>
                <w:szCs w:val="16"/>
              </w:rPr>
              <w:t>1</w:t>
            </w:r>
            <w:r w:rsidR="002E376E">
              <w:rPr>
                <w:rFonts w:ascii="Verdana" w:hAnsi="Verdana"/>
                <w:sz w:val="16"/>
                <w:szCs w:val="16"/>
              </w:rPr>
              <w:t>.</w:t>
            </w:r>
            <w:r w:rsidRPr="00011413">
              <w:rPr>
                <w:rFonts w:ascii="Verdana" w:hAnsi="Verdana"/>
                <w:sz w:val="16"/>
                <w:szCs w:val="16"/>
              </w:rPr>
              <w:t>120,00</w:t>
            </w:r>
          </w:p>
        </w:tc>
        <w:tc>
          <w:tcPr>
            <w:tcW w:w="992" w:type="dxa"/>
            <w:tcBorders>
              <w:top w:val="dotted" w:sz="4" w:space="0" w:color="auto"/>
            </w:tcBorders>
            <w:vAlign w:val="center"/>
          </w:tcPr>
          <w:p w:rsidR="00A26249" w:rsidRPr="00011413" w:rsidRDefault="00A26249" w:rsidP="003B0934">
            <w:pPr>
              <w:spacing w:line="567" w:lineRule="atLeast"/>
              <w:jc w:val="right"/>
              <w:rPr>
                <w:rFonts w:ascii="Verdana" w:hAnsi="Verdana"/>
                <w:sz w:val="16"/>
                <w:szCs w:val="16"/>
              </w:rPr>
            </w:pPr>
            <w:r w:rsidRPr="00011413">
              <w:rPr>
                <w:rFonts w:ascii="Verdana" w:hAnsi="Verdana"/>
                <w:sz w:val="16"/>
                <w:szCs w:val="16"/>
              </w:rPr>
              <w:t>1</w:t>
            </w:r>
            <w:r w:rsidR="002E376E">
              <w:rPr>
                <w:rFonts w:ascii="Verdana" w:hAnsi="Verdana"/>
                <w:sz w:val="16"/>
                <w:szCs w:val="16"/>
              </w:rPr>
              <w:t>.</w:t>
            </w:r>
            <w:r w:rsidRPr="00011413">
              <w:rPr>
                <w:rFonts w:ascii="Verdana" w:hAnsi="Verdana"/>
                <w:sz w:val="16"/>
                <w:szCs w:val="16"/>
              </w:rPr>
              <w:t>190,00</w:t>
            </w:r>
          </w:p>
        </w:tc>
        <w:tc>
          <w:tcPr>
            <w:tcW w:w="992" w:type="dxa"/>
            <w:tcBorders>
              <w:top w:val="dotted" w:sz="4" w:space="0" w:color="auto"/>
            </w:tcBorders>
            <w:vAlign w:val="center"/>
          </w:tcPr>
          <w:p w:rsidR="00A26249" w:rsidRPr="00011413" w:rsidRDefault="00A26249" w:rsidP="003B0934">
            <w:pPr>
              <w:spacing w:line="567" w:lineRule="atLeast"/>
              <w:jc w:val="right"/>
              <w:rPr>
                <w:rFonts w:ascii="Verdana" w:hAnsi="Verdana"/>
                <w:sz w:val="16"/>
                <w:szCs w:val="16"/>
              </w:rPr>
            </w:pPr>
            <w:r w:rsidRPr="00011413">
              <w:rPr>
                <w:rFonts w:ascii="Verdana" w:hAnsi="Verdana"/>
                <w:sz w:val="16"/>
                <w:szCs w:val="16"/>
              </w:rPr>
              <w:t>1</w:t>
            </w:r>
            <w:r w:rsidR="002E376E">
              <w:rPr>
                <w:rFonts w:ascii="Verdana" w:hAnsi="Verdana"/>
                <w:sz w:val="16"/>
                <w:szCs w:val="16"/>
              </w:rPr>
              <w:t>.</w:t>
            </w:r>
            <w:r w:rsidRPr="00011413">
              <w:rPr>
                <w:rFonts w:ascii="Verdana" w:hAnsi="Verdana"/>
                <w:sz w:val="16"/>
                <w:szCs w:val="16"/>
              </w:rPr>
              <w:t>210,00</w:t>
            </w:r>
          </w:p>
        </w:tc>
      </w:tr>
      <w:tr w:rsidR="0013677A" w:rsidRPr="00011413" w:rsidTr="0013677A">
        <w:trPr>
          <w:trHeight w:val="631"/>
        </w:trPr>
        <w:tc>
          <w:tcPr>
            <w:tcW w:w="2410" w:type="dxa"/>
            <w:vAlign w:val="center"/>
          </w:tcPr>
          <w:p w:rsidR="00A26249" w:rsidRPr="00011413" w:rsidRDefault="00A26249" w:rsidP="0013677A">
            <w:pPr>
              <w:pStyle w:val="Corpotesto"/>
              <w:widowControl w:val="0"/>
              <w:spacing w:line="240" w:lineRule="auto"/>
              <w:rPr>
                <w:rFonts w:ascii="Verdana" w:hAnsi="Verdana"/>
                <w:sz w:val="16"/>
                <w:szCs w:val="16"/>
              </w:rPr>
            </w:pPr>
            <w:r w:rsidRPr="00011413">
              <w:rPr>
                <w:rFonts w:ascii="Verdana" w:hAnsi="Verdana"/>
                <w:sz w:val="16"/>
                <w:szCs w:val="16"/>
              </w:rPr>
              <w:t>Riduzione per superamento tetto (euro)</w:t>
            </w:r>
          </w:p>
        </w:tc>
        <w:tc>
          <w:tcPr>
            <w:tcW w:w="992" w:type="dxa"/>
            <w:vAlign w:val="center"/>
          </w:tcPr>
          <w:p w:rsidR="00A26249" w:rsidRPr="00011413" w:rsidRDefault="009F01D8" w:rsidP="009F01D8">
            <w:pPr>
              <w:spacing w:after="0" w:line="240" w:lineRule="auto"/>
              <w:jc w:val="right"/>
              <w:rPr>
                <w:rFonts w:ascii="Verdana" w:hAnsi="Verdana"/>
                <w:sz w:val="16"/>
                <w:szCs w:val="16"/>
              </w:rPr>
            </w:pPr>
            <w:r>
              <w:rPr>
                <w:rFonts w:ascii="Verdana" w:hAnsi="Verdana"/>
                <w:sz w:val="16"/>
                <w:szCs w:val="16"/>
              </w:rPr>
              <w:t>-</w:t>
            </w:r>
          </w:p>
        </w:tc>
        <w:tc>
          <w:tcPr>
            <w:tcW w:w="993" w:type="dxa"/>
            <w:vAlign w:val="center"/>
          </w:tcPr>
          <w:p w:rsidR="00A26249" w:rsidRPr="00011413" w:rsidRDefault="00A26249" w:rsidP="009F01D8">
            <w:pPr>
              <w:spacing w:after="0" w:line="240" w:lineRule="auto"/>
              <w:jc w:val="right"/>
              <w:rPr>
                <w:rFonts w:ascii="Verdana" w:hAnsi="Verdana"/>
                <w:sz w:val="16"/>
                <w:szCs w:val="16"/>
              </w:rPr>
            </w:pPr>
            <w:r w:rsidRPr="00011413">
              <w:rPr>
                <w:rFonts w:ascii="Verdana" w:hAnsi="Verdana"/>
                <w:sz w:val="16"/>
                <w:szCs w:val="16"/>
              </w:rPr>
              <w:t>100,00</w:t>
            </w:r>
          </w:p>
        </w:tc>
        <w:tc>
          <w:tcPr>
            <w:tcW w:w="992" w:type="dxa"/>
            <w:vAlign w:val="center"/>
          </w:tcPr>
          <w:p w:rsidR="00A26249" w:rsidRPr="00011413" w:rsidRDefault="00A26249" w:rsidP="009F01D8">
            <w:pPr>
              <w:spacing w:after="0" w:line="240" w:lineRule="auto"/>
              <w:jc w:val="right"/>
              <w:rPr>
                <w:rFonts w:ascii="Verdana" w:hAnsi="Verdana"/>
                <w:sz w:val="16"/>
                <w:szCs w:val="16"/>
              </w:rPr>
            </w:pPr>
            <w:r w:rsidRPr="00011413">
              <w:rPr>
                <w:rFonts w:ascii="Verdana" w:hAnsi="Verdana"/>
                <w:sz w:val="16"/>
                <w:szCs w:val="16"/>
              </w:rPr>
              <w:t>120,00</w:t>
            </w:r>
          </w:p>
        </w:tc>
        <w:tc>
          <w:tcPr>
            <w:tcW w:w="992" w:type="dxa"/>
            <w:vAlign w:val="center"/>
          </w:tcPr>
          <w:p w:rsidR="00A26249" w:rsidRPr="00011413" w:rsidRDefault="00A26249" w:rsidP="009F01D8">
            <w:pPr>
              <w:spacing w:after="0" w:line="240" w:lineRule="auto"/>
              <w:jc w:val="right"/>
              <w:rPr>
                <w:rFonts w:ascii="Verdana" w:hAnsi="Verdana"/>
                <w:sz w:val="16"/>
                <w:szCs w:val="16"/>
              </w:rPr>
            </w:pPr>
            <w:r w:rsidRPr="00011413">
              <w:rPr>
                <w:rFonts w:ascii="Verdana" w:hAnsi="Verdana"/>
                <w:sz w:val="16"/>
                <w:szCs w:val="16"/>
              </w:rPr>
              <w:t>190,00</w:t>
            </w:r>
          </w:p>
        </w:tc>
        <w:tc>
          <w:tcPr>
            <w:tcW w:w="992" w:type="dxa"/>
            <w:vAlign w:val="center"/>
          </w:tcPr>
          <w:p w:rsidR="00A26249" w:rsidRPr="00011413" w:rsidRDefault="00A26249" w:rsidP="009F01D8">
            <w:pPr>
              <w:spacing w:after="0" w:line="240" w:lineRule="auto"/>
              <w:jc w:val="right"/>
              <w:rPr>
                <w:rFonts w:ascii="Verdana" w:hAnsi="Verdana"/>
                <w:sz w:val="16"/>
                <w:szCs w:val="16"/>
              </w:rPr>
            </w:pPr>
            <w:r w:rsidRPr="00011413">
              <w:rPr>
                <w:rFonts w:ascii="Verdana" w:hAnsi="Verdana"/>
                <w:sz w:val="16"/>
                <w:szCs w:val="16"/>
              </w:rPr>
              <w:t>210,00</w:t>
            </w:r>
          </w:p>
        </w:tc>
      </w:tr>
      <w:tr w:rsidR="0013677A" w:rsidRPr="00011413" w:rsidTr="0013677A">
        <w:tc>
          <w:tcPr>
            <w:tcW w:w="2410" w:type="dxa"/>
            <w:vAlign w:val="center"/>
          </w:tcPr>
          <w:p w:rsidR="00A86046" w:rsidRPr="00011413" w:rsidRDefault="003B0934" w:rsidP="0013677A">
            <w:pPr>
              <w:pStyle w:val="Corpotesto"/>
              <w:widowControl w:val="0"/>
              <w:spacing w:line="240" w:lineRule="auto"/>
              <w:rPr>
                <w:rFonts w:ascii="Verdana" w:hAnsi="Verdana"/>
                <w:sz w:val="16"/>
                <w:szCs w:val="16"/>
              </w:rPr>
            </w:pPr>
            <w:r>
              <w:rPr>
                <w:rFonts w:ascii="Verdana" w:hAnsi="Verdana"/>
                <w:sz w:val="16"/>
                <w:szCs w:val="16"/>
              </w:rPr>
              <w:t>M</w:t>
            </w:r>
            <w:r w:rsidR="00A86046" w:rsidRPr="00011413">
              <w:rPr>
                <w:rFonts w:ascii="Verdana" w:hAnsi="Verdana"/>
                <w:sz w:val="16"/>
                <w:szCs w:val="16"/>
              </w:rPr>
              <w:t>edia personale in servizio (unit</w:t>
            </w:r>
            <w:r>
              <w:rPr>
                <w:rFonts w:ascii="Verdana" w:hAnsi="Verdana"/>
                <w:sz w:val="16"/>
                <w:szCs w:val="16"/>
              </w:rPr>
              <w:t>à</w:t>
            </w:r>
            <w:r w:rsidR="00A86046" w:rsidRPr="00011413">
              <w:rPr>
                <w:rFonts w:ascii="Verdana" w:hAnsi="Verdana"/>
                <w:sz w:val="16"/>
                <w:szCs w:val="16"/>
              </w:rPr>
              <w:t>)</w:t>
            </w:r>
          </w:p>
        </w:tc>
        <w:tc>
          <w:tcPr>
            <w:tcW w:w="992" w:type="dxa"/>
            <w:vAlign w:val="center"/>
          </w:tcPr>
          <w:p w:rsidR="00A86046" w:rsidRPr="00011413" w:rsidRDefault="00A86046" w:rsidP="003B0934">
            <w:pPr>
              <w:spacing w:line="567" w:lineRule="atLeast"/>
              <w:jc w:val="right"/>
              <w:rPr>
                <w:rFonts w:ascii="Verdana" w:hAnsi="Verdana"/>
                <w:sz w:val="16"/>
                <w:szCs w:val="16"/>
              </w:rPr>
            </w:pPr>
            <w:r w:rsidRPr="00011413">
              <w:rPr>
                <w:rFonts w:ascii="Verdana" w:hAnsi="Verdana"/>
                <w:sz w:val="16"/>
                <w:szCs w:val="16"/>
              </w:rPr>
              <w:t>12</w:t>
            </w:r>
          </w:p>
        </w:tc>
        <w:tc>
          <w:tcPr>
            <w:tcW w:w="993" w:type="dxa"/>
            <w:vAlign w:val="center"/>
          </w:tcPr>
          <w:p w:rsidR="00A86046" w:rsidRPr="00011413" w:rsidRDefault="00A86046" w:rsidP="003B0934">
            <w:pPr>
              <w:spacing w:line="567" w:lineRule="atLeast"/>
              <w:jc w:val="right"/>
              <w:rPr>
                <w:rFonts w:ascii="Verdana" w:hAnsi="Verdana"/>
                <w:sz w:val="16"/>
                <w:szCs w:val="16"/>
              </w:rPr>
            </w:pPr>
            <w:r w:rsidRPr="00011413">
              <w:rPr>
                <w:rFonts w:ascii="Verdana" w:hAnsi="Verdana"/>
                <w:sz w:val="16"/>
                <w:szCs w:val="16"/>
              </w:rPr>
              <w:t>12,5</w:t>
            </w:r>
          </w:p>
        </w:tc>
        <w:tc>
          <w:tcPr>
            <w:tcW w:w="992" w:type="dxa"/>
            <w:vAlign w:val="center"/>
          </w:tcPr>
          <w:p w:rsidR="00A86046" w:rsidRPr="00011413" w:rsidRDefault="00A86046" w:rsidP="003B0934">
            <w:pPr>
              <w:spacing w:line="567" w:lineRule="atLeast"/>
              <w:jc w:val="right"/>
              <w:rPr>
                <w:rFonts w:ascii="Verdana" w:hAnsi="Verdana"/>
                <w:sz w:val="16"/>
                <w:szCs w:val="16"/>
              </w:rPr>
            </w:pPr>
            <w:r w:rsidRPr="00011413">
              <w:rPr>
                <w:rFonts w:ascii="Verdana" w:hAnsi="Verdana"/>
                <w:sz w:val="16"/>
                <w:szCs w:val="16"/>
              </w:rPr>
              <w:t>11,5</w:t>
            </w:r>
          </w:p>
        </w:tc>
        <w:tc>
          <w:tcPr>
            <w:tcW w:w="992" w:type="dxa"/>
            <w:vAlign w:val="center"/>
          </w:tcPr>
          <w:p w:rsidR="00A86046" w:rsidRPr="00011413" w:rsidRDefault="00A86046" w:rsidP="003B0934">
            <w:pPr>
              <w:spacing w:line="567" w:lineRule="atLeast"/>
              <w:jc w:val="right"/>
              <w:rPr>
                <w:rFonts w:ascii="Verdana" w:hAnsi="Verdana"/>
                <w:sz w:val="16"/>
                <w:szCs w:val="16"/>
              </w:rPr>
            </w:pPr>
            <w:r w:rsidRPr="00011413">
              <w:rPr>
                <w:rFonts w:ascii="Verdana" w:hAnsi="Verdana"/>
                <w:sz w:val="16"/>
                <w:szCs w:val="16"/>
              </w:rPr>
              <w:t>10,5</w:t>
            </w:r>
          </w:p>
        </w:tc>
        <w:tc>
          <w:tcPr>
            <w:tcW w:w="992" w:type="dxa"/>
            <w:vAlign w:val="center"/>
          </w:tcPr>
          <w:p w:rsidR="00A86046" w:rsidRPr="00011413" w:rsidRDefault="00A86046" w:rsidP="003B0934">
            <w:pPr>
              <w:spacing w:line="567" w:lineRule="atLeast"/>
              <w:jc w:val="right"/>
              <w:rPr>
                <w:rFonts w:ascii="Verdana" w:hAnsi="Verdana"/>
                <w:sz w:val="16"/>
                <w:szCs w:val="16"/>
              </w:rPr>
            </w:pPr>
            <w:r w:rsidRPr="00011413">
              <w:rPr>
                <w:rFonts w:ascii="Verdana" w:hAnsi="Verdana"/>
                <w:sz w:val="16"/>
                <w:szCs w:val="16"/>
              </w:rPr>
              <w:t>9,5</w:t>
            </w:r>
          </w:p>
        </w:tc>
      </w:tr>
      <w:tr w:rsidR="0013677A" w:rsidRPr="00011413" w:rsidTr="0013677A">
        <w:tc>
          <w:tcPr>
            <w:tcW w:w="2410" w:type="dxa"/>
            <w:vAlign w:val="center"/>
          </w:tcPr>
          <w:p w:rsidR="00A86046" w:rsidRPr="00011413" w:rsidRDefault="003B0934" w:rsidP="0013677A">
            <w:pPr>
              <w:pStyle w:val="Corpotesto"/>
              <w:widowControl w:val="0"/>
              <w:spacing w:line="240" w:lineRule="auto"/>
              <w:rPr>
                <w:rFonts w:ascii="Verdana" w:hAnsi="Verdana"/>
                <w:sz w:val="16"/>
                <w:szCs w:val="16"/>
              </w:rPr>
            </w:pPr>
            <w:r>
              <w:rPr>
                <w:rFonts w:ascii="Verdana" w:hAnsi="Verdana"/>
                <w:sz w:val="16"/>
                <w:szCs w:val="16"/>
              </w:rPr>
              <w:t>R</w:t>
            </w:r>
            <w:r w:rsidR="00A86046" w:rsidRPr="00011413">
              <w:rPr>
                <w:rFonts w:ascii="Verdana" w:hAnsi="Verdana"/>
                <w:sz w:val="16"/>
                <w:szCs w:val="16"/>
              </w:rPr>
              <w:t>iduzione percentuale rispetto all’anno 2010</w:t>
            </w:r>
          </w:p>
        </w:tc>
        <w:tc>
          <w:tcPr>
            <w:tcW w:w="992" w:type="dxa"/>
            <w:vAlign w:val="center"/>
          </w:tcPr>
          <w:p w:rsidR="00A86046" w:rsidRPr="00011413" w:rsidRDefault="009F01D8" w:rsidP="002E376E">
            <w:pPr>
              <w:spacing w:line="567" w:lineRule="atLeast"/>
              <w:jc w:val="right"/>
              <w:rPr>
                <w:rFonts w:ascii="Verdana" w:hAnsi="Verdana"/>
                <w:sz w:val="16"/>
                <w:szCs w:val="16"/>
              </w:rPr>
            </w:pPr>
            <w:r>
              <w:rPr>
                <w:rFonts w:ascii="Verdana" w:hAnsi="Verdana"/>
                <w:sz w:val="16"/>
                <w:szCs w:val="16"/>
              </w:rPr>
              <w:t>-</w:t>
            </w:r>
          </w:p>
        </w:tc>
        <w:tc>
          <w:tcPr>
            <w:tcW w:w="993" w:type="dxa"/>
            <w:vAlign w:val="center"/>
          </w:tcPr>
          <w:p w:rsidR="00A86046" w:rsidRPr="00011413" w:rsidRDefault="00A86046" w:rsidP="003B0934">
            <w:pPr>
              <w:spacing w:line="567" w:lineRule="atLeast"/>
              <w:jc w:val="right"/>
              <w:rPr>
                <w:rFonts w:ascii="Verdana" w:hAnsi="Verdana"/>
                <w:sz w:val="16"/>
                <w:szCs w:val="16"/>
              </w:rPr>
            </w:pPr>
            <w:r w:rsidRPr="00011413">
              <w:rPr>
                <w:rFonts w:ascii="Verdana" w:hAnsi="Verdana"/>
                <w:sz w:val="16"/>
                <w:szCs w:val="16"/>
              </w:rPr>
              <w:t>0,00%</w:t>
            </w:r>
          </w:p>
        </w:tc>
        <w:tc>
          <w:tcPr>
            <w:tcW w:w="992" w:type="dxa"/>
            <w:vAlign w:val="center"/>
          </w:tcPr>
          <w:p w:rsidR="00A86046" w:rsidRPr="00011413" w:rsidRDefault="00A86046" w:rsidP="003B0934">
            <w:pPr>
              <w:spacing w:line="567" w:lineRule="atLeast"/>
              <w:jc w:val="right"/>
              <w:rPr>
                <w:rFonts w:ascii="Verdana" w:hAnsi="Verdana"/>
                <w:sz w:val="16"/>
                <w:szCs w:val="16"/>
              </w:rPr>
            </w:pPr>
            <w:r w:rsidRPr="00011413">
              <w:rPr>
                <w:rFonts w:ascii="Verdana" w:hAnsi="Verdana"/>
                <w:sz w:val="16"/>
                <w:szCs w:val="16"/>
              </w:rPr>
              <w:t>4,17%</w:t>
            </w:r>
          </w:p>
        </w:tc>
        <w:tc>
          <w:tcPr>
            <w:tcW w:w="992" w:type="dxa"/>
            <w:vAlign w:val="center"/>
          </w:tcPr>
          <w:p w:rsidR="00A86046" w:rsidRPr="00011413" w:rsidRDefault="00A86046" w:rsidP="003B0934">
            <w:pPr>
              <w:spacing w:line="567" w:lineRule="atLeast"/>
              <w:jc w:val="right"/>
              <w:rPr>
                <w:rFonts w:ascii="Verdana" w:hAnsi="Verdana"/>
                <w:sz w:val="16"/>
                <w:szCs w:val="16"/>
              </w:rPr>
            </w:pPr>
            <w:r w:rsidRPr="00011413">
              <w:rPr>
                <w:rFonts w:ascii="Verdana" w:hAnsi="Verdana"/>
                <w:sz w:val="16"/>
                <w:szCs w:val="16"/>
              </w:rPr>
              <w:t>12,50%</w:t>
            </w:r>
          </w:p>
        </w:tc>
        <w:tc>
          <w:tcPr>
            <w:tcW w:w="992" w:type="dxa"/>
            <w:vAlign w:val="center"/>
          </w:tcPr>
          <w:p w:rsidR="00A86046" w:rsidRPr="00011413" w:rsidRDefault="00A86046" w:rsidP="003B0934">
            <w:pPr>
              <w:spacing w:line="567" w:lineRule="atLeast"/>
              <w:jc w:val="right"/>
              <w:rPr>
                <w:rFonts w:ascii="Verdana" w:hAnsi="Verdana"/>
                <w:sz w:val="16"/>
                <w:szCs w:val="16"/>
              </w:rPr>
            </w:pPr>
            <w:r w:rsidRPr="00011413">
              <w:rPr>
                <w:rFonts w:ascii="Verdana" w:hAnsi="Verdana"/>
                <w:sz w:val="16"/>
                <w:szCs w:val="16"/>
              </w:rPr>
              <w:t>20,83%</w:t>
            </w:r>
          </w:p>
        </w:tc>
      </w:tr>
      <w:tr w:rsidR="0013677A" w:rsidRPr="00011413" w:rsidTr="0013677A">
        <w:tc>
          <w:tcPr>
            <w:tcW w:w="2410" w:type="dxa"/>
            <w:vAlign w:val="center"/>
          </w:tcPr>
          <w:p w:rsidR="00A86046" w:rsidRPr="00011413" w:rsidRDefault="003B0934" w:rsidP="0013677A">
            <w:pPr>
              <w:pStyle w:val="Corpotesto"/>
              <w:widowControl w:val="0"/>
              <w:spacing w:line="240" w:lineRule="auto"/>
              <w:rPr>
                <w:rFonts w:ascii="Verdana" w:hAnsi="Verdana"/>
                <w:sz w:val="16"/>
                <w:szCs w:val="16"/>
              </w:rPr>
            </w:pPr>
            <w:r>
              <w:rPr>
                <w:rFonts w:ascii="Verdana" w:hAnsi="Verdana"/>
                <w:sz w:val="16"/>
                <w:szCs w:val="16"/>
              </w:rPr>
              <w:t>R</w:t>
            </w:r>
            <w:r w:rsidR="00A86046" w:rsidRPr="00011413">
              <w:rPr>
                <w:rFonts w:ascii="Verdana" w:hAnsi="Verdana"/>
                <w:sz w:val="16"/>
                <w:szCs w:val="16"/>
              </w:rPr>
              <w:t>iduzione fondo per riduzione personale nella medesima percentuale (euro)</w:t>
            </w:r>
          </w:p>
        </w:tc>
        <w:tc>
          <w:tcPr>
            <w:tcW w:w="992" w:type="dxa"/>
            <w:vAlign w:val="center"/>
          </w:tcPr>
          <w:p w:rsidR="00A86046" w:rsidRPr="00011413" w:rsidRDefault="009F01D8" w:rsidP="002E376E">
            <w:pPr>
              <w:spacing w:line="567" w:lineRule="atLeast"/>
              <w:jc w:val="right"/>
              <w:rPr>
                <w:rFonts w:ascii="Verdana" w:hAnsi="Verdana"/>
                <w:sz w:val="16"/>
                <w:szCs w:val="16"/>
              </w:rPr>
            </w:pPr>
            <w:r>
              <w:rPr>
                <w:rFonts w:ascii="Verdana" w:hAnsi="Verdana"/>
                <w:sz w:val="16"/>
                <w:szCs w:val="16"/>
              </w:rPr>
              <w:t>-</w:t>
            </w:r>
          </w:p>
        </w:tc>
        <w:tc>
          <w:tcPr>
            <w:tcW w:w="993" w:type="dxa"/>
            <w:vAlign w:val="center"/>
          </w:tcPr>
          <w:p w:rsidR="00A86046" w:rsidRPr="00011413" w:rsidRDefault="009F01D8" w:rsidP="003B0934">
            <w:pPr>
              <w:spacing w:line="567" w:lineRule="atLeast"/>
              <w:jc w:val="right"/>
              <w:rPr>
                <w:rFonts w:ascii="Verdana" w:hAnsi="Verdana"/>
                <w:sz w:val="16"/>
                <w:szCs w:val="16"/>
              </w:rPr>
            </w:pPr>
            <w:r>
              <w:rPr>
                <w:rFonts w:ascii="Verdana" w:hAnsi="Verdana"/>
                <w:sz w:val="16"/>
                <w:szCs w:val="16"/>
              </w:rPr>
              <w:t>-</w:t>
            </w:r>
          </w:p>
        </w:tc>
        <w:tc>
          <w:tcPr>
            <w:tcW w:w="992" w:type="dxa"/>
            <w:vAlign w:val="center"/>
          </w:tcPr>
          <w:p w:rsidR="00A86046" w:rsidRPr="00011413" w:rsidRDefault="00A86046" w:rsidP="003B0934">
            <w:pPr>
              <w:spacing w:line="567" w:lineRule="atLeast"/>
              <w:jc w:val="right"/>
              <w:rPr>
                <w:rFonts w:ascii="Verdana" w:hAnsi="Verdana"/>
                <w:sz w:val="16"/>
                <w:szCs w:val="16"/>
              </w:rPr>
            </w:pPr>
            <w:r w:rsidRPr="00011413">
              <w:rPr>
                <w:rFonts w:ascii="Verdana" w:hAnsi="Verdana"/>
                <w:sz w:val="16"/>
                <w:szCs w:val="16"/>
              </w:rPr>
              <w:t>41,70</w:t>
            </w:r>
          </w:p>
        </w:tc>
        <w:tc>
          <w:tcPr>
            <w:tcW w:w="992" w:type="dxa"/>
            <w:vAlign w:val="center"/>
          </w:tcPr>
          <w:p w:rsidR="00A86046" w:rsidRPr="00011413" w:rsidRDefault="00A86046" w:rsidP="003B0934">
            <w:pPr>
              <w:spacing w:line="567" w:lineRule="atLeast"/>
              <w:jc w:val="right"/>
              <w:rPr>
                <w:rFonts w:ascii="Verdana" w:hAnsi="Verdana"/>
                <w:sz w:val="16"/>
                <w:szCs w:val="16"/>
              </w:rPr>
            </w:pPr>
            <w:r w:rsidRPr="00011413">
              <w:rPr>
                <w:rFonts w:ascii="Verdana" w:hAnsi="Verdana"/>
                <w:sz w:val="16"/>
                <w:szCs w:val="16"/>
              </w:rPr>
              <w:t>125,00</w:t>
            </w:r>
          </w:p>
        </w:tc>
        <w:tc>
          <w:tcPr>
            <w:tcW w:w="992" w:type="dxa"/>
            <w:vAlign w:val="center"/>
          </w:tcPr>
          <w:p w:rsidR="00A86046" w:rsidRPr="00011413" w:rsidRDefault="00A86046" w:rsidP="003B0934">
            <w:pPr>
              <w:spacing w:line="567" w:lineRule="atLeast"/>
              <w:jc w:val="right"/>
              <w:rPr>
                <w:rFonts w:ascii="Verdana" w:hAnsi="Verdana"/>
                <w:sz w:val="16"/>
                <w:szCs w:val="16"/>
              </w:rPr>
            </w:pPr>
            <w:r w:rsidRPr="00011413">
              <w:rPr>
                <w:rFonts w:ascii="Verdana" w:hAnsi="Verdana"/>
                <w:sz w:val="16"/>
                <w:szCs w:val="16"/>
              </w:rPr>
              <w:t>208,30</w:t>
            </w:r>
          </w:p>
        </w:tc>
      </w:tr>
      <w:tr w:rsidR="0013677A" w:rsidRPr="00011413" w:rsidTr="0013677A">
        <w:tc>
          <w:tcPr>
            <w:tcW w:w="2410" w:type="dxa"/>
            <w:vAlign w:val="center"/>
          </w:tcPr>
          <w:p w:rsidR="00A86046" w:rsidRPr="00011413" w:rsidRDefault="003B0934" w:rsidP="0013677A">
            <w:pPr>
              <w:pStyle w:val="Corpotesto"/>
              <w:widowControl w:val="0"/>
              <w:spacing w:line="240" w:lineRule="auto"/>
              <w:rPr>
                <w:rFonts w:ascii="Verdana" w:hAnsi="Verdana"/>
                <w:sz w:val="16"/>
                <w:szCs w:val="16"/>
              </w:rPr>
            </w:pPr>
            <w:r>
              <w:rPr>
                <w:rFonts w:ascii="Verdana" w:hAnsi="Verdana"/>
                <w:sz w:val="16"/>
                <w:szCs w:val="16"/>
              </w:rPr>
              <w:t>T</w:t>
            </w:r>
            <w:r w:rsidR="00A86046" w:rsidRPr="00011413">
              <w:rPr>
                <w:rFonts w:ascii="Verdana" w:hAnsi="Verdana"/>
                <w:sz w:val="16"/>
                <w:szCs w:val="16"/>
              </w:rPr>
              <w:t>otale riduzioni per ciascun anno</w:t>
            </w:r>
          </w:p>
        </w:tc>
        <w:tc>
          <w:tcPr>
            <w:tcW w:w="992" w:type="dxa"/>
            <w:vAlign w:val="center"/>
          </w:tcPr>
          <w:p w:rsidR="00A86046" w:rsidRPr="00011413" w:rsidRDefault="009F01D8" w:rsidP="002E376E">
            <w:pPr>
              <w:spacing w:line="567" w:lineRule="atLeast"/>
              <w:jc w:val="right"/>
              <w:rPr>
                <w:rFonts w:ascii="Verdana" w:hAnsi="Verdana"/>
                <w:sz w:val="16"/>
                <w:szCs w:val="16"/>
              </w:rPr>
            </w:pPr>
            <w:r>
              <w:rPr>
                <w:rFonts w:ascii="Verdana" w:hAnsi="Verdana"/>
                <w:sz w:val="16"/>
                <w:szCs w:val="16"/>
              </w:rPr>
              <w:t>-</w:t>
            </w:r>
          </w:p>
        </w:tc>
        <w:tc>
          <w:tcPr>
            <w:tcW w:w="993" w:type="dxa"/>
            <w:vAlign w:val="center"/>
          </w:tcPr>
          <w:p w:rsidR="00A86046" w:rsidRPr="00011413" w:rsidRDefault="00A86046" w:rsidP="003B0934">
            <w:pPr>
              <w:spacing w:line="567" w:lineRule="atLeast"/>
              <w:jc w:val="right"/>
              <w:rPr>
                <w:rFonts w:ascii="Verdana" w:hAnsi="Verdana"/>
                <w:sz w:val="16"/>
                <w:szCs w:val="16"/>
              </w:rPr>
            </w:pPr>
            <w:r w:rsidRPr="00011413">
              <w:rPr>
                <w:rFonts w:ascii="Verdana" w:hAnsi="Verdana"/>
                <w:sz w:val="16"/>
                <w:szCs w:val="16"/>
              </w:rPr>
              <w:t>100,00</w:t>
            </w:r>
          </w:p>
        </w:tc>
        <w:tc>
          <w:tcPr>
            <w:tcW w:w="992" w:type="dxa"/>
            <w:vAlign w:val="center"/>
          </w:tcPr>
          <w:p w:rsidR="00A86046" w:rsidRPr="00011413" w:rsidRDefault="00A86046" w:rsidP="003B0934">
            <w:pPr>
              <w:spacing w:line="567" w:lineRule="atLeast"/>
              <w:jc w:val="right"/>
              <w:rPr>
                <w:rFonts w:ascii="Verdana" w:hAnsi="Verdana"/>
                <w:sz w:val="16"/>
                <w:szCs w:val="16"/>
              </w:rPr>
            </w:pPr>
            <w:r w:rsidRPr="00011413">
              <w:rPr>
                <w:rFonts w:ascii="Verdana" w:hAnsi="Verdana"/>
                <w:sz w:val="16"/>
                <w:szCs w:val="16"/>
              </w:rPr>
              <w:t>161,70</w:t>
            </w:r>
          </w:p>
        </w:tc>
        <w:tc>
          <w:tcPr>
            <w:tcW w:w="992" w:type="dxa"/>
            <w:vAlign w:val="center"/>
          </w:tcPr>
          <w:p w:rsidR="00A86046" w:rsidRPr="00011413" w:rsidRDefault="00A86046" w:rsidP="003B0934">
            <w:pPr>
              <w:spacing w:line="567" w:lineRule="atLeast"/>
              <w:jc w:val="right"/>
              <w:rPr>
                <w:rFonts w:ascii="Verdana" w:hAnsi="Verdana"/>
                <w:sz w:val="16"/>
                <w:szCs w:val="16"/>
              </w:rPr>
            </w:pPr>
            <w:r w:rsidRPr="00011413">
              <w:rPr>
                <w:rFonts w:ascii="Verdana" w:hAnsi="Verdana"/>
                <w:sz w:val="16"/>
                <w:szCs w:val="16"/>
              </w:rPr>
              <w:t>315,00</w:t>
            </w:r>
          </w:p>
        </w:tc>
        <w:tc>
          <w:tcPr>
            <w:tcW w:w="992" w:type="dxa"/>
            <w:vAlign w:val="center"/>
          </w:tcPr>
          <w:p w:rsidR="00A86046" w:rsidRPr="00011413" w:rsidRDefault="00A86046" w:rsidP="003B0934">
            <w:pPr>
              <w:spacing w:line="567" w:lineRule="atLeast"/>
              <w:jc w:val="right"/>
              <w:rPr>
                <w:rFonts w:ascii="Verdana" w:hAnsi="Verdana"/>
                <w:sz w:val="16"/>
                <w:szCs w:val="16"/>
              </w:rPr>
            </w:pPr>
            <w:r w:rsidRPr="00011413">
              <w:rPr>
                <w:rFonts w:ascii="Verdana" w:hAnsi="Verdana"/>
                <w:sz w:val="16"/>
                <w:szCs w:val="16"/>
              </w:rPr>
              <w:t>418,30</w:t>
            </w:r>
          </w:p>
        </w:tc>
      </w:tr>
      <w:tr w:rsidR="0013677A" w:rsidRPr="00011413" w:rsidTr="0013677A">
        <w:trPr>
          <w:trHeight w:val="464"/>
        </w:trPr>
        <w:tc>
          <w:tcPr>
            <w:tcW w:w="2410" w:type="dxa"/>
            <w:vAlign w:val="center"/>
          </w:tcPr>
          <w:p w:rsidR="00A86046" w:rsidRPr="00011413" w:rsidRDefault="003B0934" w:rsidP="0013677A">
            <w:pPr>
              <w:pStyle w:val="Corpotesto"/>
              <w:widowControl w:val="0"/>
              <w:spacing w:line="240" w:lineRule="auto"/>
              <w:rPr>
                <w:rFonts w:ascii="Verdana" w:hAnsi="Verdana"/>
                <w:sz w:val="16"/>
                <w:szCs w:val="16"/>
              </w:rPr>
            </w:pPr>
            <w:r>
              <w:rPr>
                <w:rFonts w:ascii="Verdana" w:hAnsi="Verdana"/>
                <w:sz w:val="16"/>
                <w:szCs w:val="16"/>
              </w:rPr>
              <w:t>F</w:t>
            </w:r>
            <w:r w:rsidR="00A86046" w:rsidRPr="00011413">
              <w:rPr>
                <w:rFonts w:ascii="Verdana" w:hAnsi="Verdana"/>
                <w:sz w:val="16"/>
                <w:szCs w:val="16"/>
              </w:rPr>
              <w:t>ondo disponibile</w:t>
            </w:r>
            <w:r w:rsidR="002E376E">
              <w:rPr>
                <w:rFonts w:ascii="Verdana" w:hAnsi="Verdana"/>
                <w:sz w:val="16"/>
                <w:szCs w:val="16"/>
              </w:rPr>
              <w:t xml:space="preserve"> </w:t>
            </w:r>
            <w:r w:rsidR="0013677A">
              <w:rPr>
                <w:rFonts w:ascii="Verdana" w:hAnsi="Verdana"/>
                <w:sz w:val="16"/>
                <w:szCs w:val="16"/>
              </w:rPr>
              <w:t>nell’a</w:t>
            </w:r>
            <w:r w:rsidR="00A86046" w:rsidRPr="00011413">
              <w:rPr>
                <w:rFonts w:ascii="Verdana" w:hAnsi="Verdana"/>
                <w:sz w:val="16"/>
                <w:szCs w:val="16"/>
              </w:rPr>
              <w:t>nno</w:t>
            </w:r>
          </w:p>
        </w:tc>
        <w:tc>
          <w:tcPr>
            <w:tcW w:w="992" w:type="dxa"/>
          </w:tcPr>
          <w:p w:rsidR="00A86046" w:rsidRPr="00011413" w:rsidRDefault="00A86046" w:rsidP="0013677A">
            <w:pPr>
              <w:spacing w:line="567" w:lineRule="atLeast"/>
              <w:jc w:val="right"/>
              <w:rPr>
                <w:rFonts w:ascii="Verdana" w:hAnsi="Verdana"/>
                <w:sz w:val="16"/>
                <w:szCs w:val="16"/>
              </w:rPr>
            </w:pPr>
            <w:r w:rsidRPr="00011413">
              <w:rPr>
                <w:rFonts w:ascii="Verdana" w:hAnsi="Verdana"/>
                <w:sz w:val="16"/>
                <w:szCs w:val="16"/>
              </w:rPr>
              <w:t>1</w:t>
            </w:r>
            <w:r w:rsidR="00CF3A61">
              <w:rPr>
                <w:rFonts w:ascii="Verdana" w:hAnsi="Verdana"/>
                <w:sz w:val="16"/>
                <w:szCs w:val="16"/>
              </w:rPr>
              <w:t>.</w:t>
            </w:r>
            <w:r w:rsidRPr="00011413">
              <w:rPr>
                <w:rFonts w:ascii="Verdana" w:hAnsi="Verdana"/>
                <w:sz w:val="16"/>
                <w:szCs w:val="16"/>
              </w:rPr>
              <w:t>000,00</w:t>
            </w:r>
          </w:p>
        </w:tc>
        <w:tc>
          <w:tcPr>
            <w:tcW w:w="993" w:type="dxa"/>
          </w:tcPr>
          <w:p w:rsidR="00A86046" w:rsidRPr="00011413" w:rsidRDefault="00A86046" w:rsidP="009F01D8">
            <w:pPr>
              <w:spacing w:line="567" w:lineRule="atLeast"/>
              <w:jc w:val="right"/>
              <w:rPr>
                <w:rFonts w:ascii="Verdana" w:hAnsi="Verdana"/>
                <w:sz w:val="16"/>
                <w:szCs w:val="16"/>
              </w:rPr>
            </w:pPr>
            <w:r w:rsidRPr="00011413">
              <w:rPr>
                <w:rFonts w:ascii="Verdana" w:hAnsi="Verdana"/>
                <w:sz w:val="16"/>
                <w:szCs w:val="16"/>
              </w:rPr>
              <w:t>1</w:t>
            </w:r>
            <w:r w:rsidR="00CF3A61">
              <w:rPr>
                <w:rFonts w:ascii="Verdana" w:hAnsi="Verdana"/>
                <w:sz w:val="16"/>
                <w:szCs w:val="16"/>
              </w:rPr>
              <w:t>.</w:t>
            </w:r>
            <w:r w:rsidRPr="00011413">
              <w:rPr>
                <w:rFonts w:ascii="Verdana" w:hAnsi="Verdana"/>
                <w:sz w:val="16"/>
                <w:szCs w:val="16"/>
              </w:rPr>
              <w:t>000,00</w:t>
            </w:r>
          </w:p>
        </w:tc>
        <w:tc>
          <w:tcPr>
            <w:tcW w:w="992" w:type="dxa"/>
          </w:tcPr>
          <w:p w:rsidR="00A86046" w:rsidRPr="00011413" w:rsidRDefault="00A86046" w:rsidP="0013677A">
            <w:pPr>
              <w:spacing w:line="567" w:lineRule="atLeast"/>
              <w:jc w:val="right"/>
              <w:rPr>
                <w:rFonts w:ascii="Verdana" w:hAnsi="Verdana"/>
                <w:sz w:val="16"/>
                <w:szCs w:val="16"/>
              </w:rPr>
            </w:pPr>
            <w:r w:rsidRPr="00011413">
              <w:rPr>
                <w:rFonts w:ascii="Verdana" w:hAnsi="Verdana"/>
                <w:sz w:val="16"/>
                <w:szCs w:val="16"/>
              </w:rPr>
              <w:t>958,30</w:t>
            </w:r>
          </w:p>
        </w:tc>
        <w:tc>
          <w:tcPr>
            <w:tcW w:w="992" w:type="dxa"/>
          </w:tcPr>
          <w:p w:rsidR="00A86046" w:rsidRPr="00011413" w:rsidRDefault="00A86046" w:rsidP="0013677A">
            <w:pPr>
              <w:spacing w:line="567" w:lineRule="atLeast"/>
              <w:jc w:val="right"/>
              <w:rPr>
                <w:rFonts w:ascii="Verdana" w:hAnsi="Verdana"/>
                <w:sz w:val="16"/>
                <w:szCs w:val="16"/>
              </w:rPr>
            </w:pPr>
            <w:r w:rsidRPr="00011413">
              <w:rPr>
                <w:rFonts w:ascii="Verdana" w:hAnsi="Verdana"/>
                <w:sz w:val="16"/>
                <w:szCs w:val="16"/>
              </w:rPr>
              <w:t>875,00</w:t>
            </w:r>
          </w:p>
        </w:tc>
        <w:tc>
          <w:tcPr>
            <w:tcW w:w="992" w:type="dxa"/>
          </w:tcPr>
          <w:p w:rsidR="00A86046" w:rsidRPr="00011413" w:rsidRDefault="00A86046" w:rsidP="0013677A">
            <w:pPr>
              <w:spacing w:line="567" w:lineRule="atLeast"/>
              <w:jc w:val="right"/>
              <w:rPr>
                <w:rFonts w:ascii="Verdana" w:hAnsi="Verdana"/>
                <w:sz w:val="16"/>
                <w:szCs w:val="16"/>
              </w:rPr>
            </w:pPr>
            <w:r w:rsidRPr="00011413">
              <w:rPr>
                <w:rFonts w:ascii="Verdana" w:hAnsi="Verdana"/>
                <w:sz w:val="16"/>
                <w:szCs w:val="16"/>
              </w:rPr>
              <w:t>791,70</w:t>
            </w:r>
          </w:p>
        </w:tc>
      </w:tr>
    </w:tbl>
    <w:p w:rsidR="00413B55" w:rsidRPr="00A86046" w:rsidRDefault="00413B55" w:rsidP="004B722F">
      <w:pPr>
        <w:pStyle w:val="Corpotesto"/>
        <w:widowControl w:val="0"/>
        <w:spacing w:before="240" w:line="567" w:lineRule="atLeast"/>
        <w:ind w:firstLine="539"/>
        <w:rPr>
          <w:rFonts w:ascii="Verdana" w:hAnsi="Verdana"/>
          <w:sz w:val="20"/>
        </w:rPr>
      </w:pPr>
      <w:r w:rsidRPr="00A86046">
        <w:rPr>
          <w:rFonts w:ascii="Verdana" w:hAnsi="Verdana"/>
          <w:sz w:val="20"/>
        </w:rPr>
        <w:t xml:space="preserve">Ipotizzando come suggerito dall’Ente, un fondo per il 2015, </w:t>
      </w:r>
      <w:r w:rsidRPr="00A86046">
        <w:rPr>
          <w:rFonts w:ascii="Verdana" w:hAnsi="Verdana"/>
          <w:sz w:val="20"/>
        </w:rPr>
        <w:lastRenderedPageBreak/>
        <w:t>calcolato secondo le norme contrattuali vigenti in euro 1</w:t>
      </w:r>
      <w:r w:rsidR="00A86046" w:rsidRPr="00A86046">
        <w:rPr>
          <w:rFonts w:ascii="Verdana" w:hAnsi="Verdana"/>
          <w:sz w:val="20"/>
        </w:rPr>
        <w:t>.</w:t>
      </w:r>
      <w:r w:rsidRPr="00A86046">
        <w:rPr>
          <w:rFonts w:ascii="Verdana" w:hAnsi="Verdana"/>
          <w:sz w:val="20"/>
        </w:rPr>
        <w:t>310,00, secondo la norma esaminata e nell’interpretazione data risulteranno da sottrarre:</w:t>
      </w:r>
    </w:p>
    <w:p w:rsidR="00413B55" w:rsidRPr="00A86046" w:rsidRDefault="00413B55" w:rsidP="009F01D8">
      <w:pPr>
        <w:pStyle w:val="Corpotesto"/>
        <w:widowControl w:val="0"/>
        <w:numPr>
          <w:ilvl w:val="0"/>
          <w:numId w:val="5"/>
        </w:numPr>
        <w:tabs>
          <w:tab w:val="left" w:pos="567"/>
        </w:tabs>
        <w:spacing w:line="567" w:lineRule="atLeast"/>
        <w:ind w:left="0" w:firstLine="0"/>
        <w:rPr>
          <w:rFonts w:ascii="Verdana" w:hAnsi="Verdana"/>
          <w:sz w:val="20"/>
        </w:rPr>
      </w:pPr>
      <w:r w:rsidRPr="00A86046">
        <w:rPr>
          <w:rFonts w:ascii="Verdana" w:hAnsi="Verdana"/>
          <w:sz w:val="20"/>
        </w:rPr>
        <w:t>le decurtazioni pari alla somma di tutte le riduzioni operate sui suddetti fondi per gli anni 2011-2014 per la riconduzione del fondo al tetto massimo: dunque: 100</w:t>
      </w:r>
      <w:r w:rsidR="008E6AF2" w:rsidRPr="00A86046">
        <w:rPr>
          <w:rFonts w:ascii="Verdana" w:hAnsi="Verdana"/>
          <w:sz w:val="20"/>
        </w:rPr>
        <w:t>,00</w:t>
      </w:r>
      <w:r w:rsidRPr="00A86046">
        <w:rPr>
          <w:rFonts w:ascii="Verdana" w:hAnsi="Verdana"/>
          <w:sz w:val="20"/>
        </w:rPr>
        <w:t>+120</w:t>
      </w:r>
      <w:r w:rsidR="008E6AF2" w:rsidRPr="00A86046">
        <w:rPr>
          <w:rFonts w:ascii="Verdana" w:hAnsi="Verdana"/>
          <w:sz w:val="20"/>
        </w:rPr>
        <w:t>,00</w:t>
      </w:r>
      <w:r w:rsidRPr="00A86046">
        <w:rPr>
          <w:rFonts w:ascii="Verdana" w:hAnsi="Verdana"/>
          <w:sz w:val="20"/>
        </w:rPr>
        <w:t>+190</w:t>
      </w:r>
      <w:r w:rsidR="008E6AF2" w:rsidRPr="00A86046">
        <w:rPr>
          <w:rFonts w:ascii="Verdana" w:hAnsi="Verdana"/>
          <w:sz w:val="20"/>
        </w:rPr>
        <w:t>,00</w:t>
      </w:r>
      <w:r w:rsidRPr="00A86046">
        <w:rPr>
          <w:rFonts w:ascii="Verdana" w:hAnsi="Verdana"/>
          <w:sz w:val="20"/>
        </w:rPr>
        <w:t>+210</w:t>
      </w:r>
      <w:r w:rsidR="008E6AF2" w:rsidRPr="00A86046">
        <w:rPr>
          <w:rFonts w:ascii="Verdana" w:hAnsi="Verdana"/>
          <w:sz w:val="20"/>
        </w:rPr>
        <w:t>,00</w:t>
      </w:r>
      <w:r w:rsidRPr="00A86046">
        <w:rPr>
          <w:rFonts w:ascii="Verdana" w:hAnsi="Verdana"/>
          <w:sz w:val="20"/>
        </w:rPr>
        <w:t>=620</w:t>
      </w:r>
      <w:r w:rsidR="008E6AF2" w:rsidRPr="00A86046">
        <w:rPr>
          <w:rFonts w:ascii="Verdana" w:hAnsi="Verdana"/>
          <w:sz w:val="20"/>
        </w:rPr>
        <w:t>,00</w:t>
      </w:r>
      <w:r w:rsidRPr="00A86046">
        <w:rPr>
          <w:rFonts w:ascii="Verdana" w:hAnsi="Verdana"/>
          <w:sz w:val="20"/>
        </w:rPr>
        <w:t xml:space="preserve"> euro;</w:t>
      </w:r>
    </w:p>
    <w:p w:rsidR="00413B55" w:rsidRDefault="00413B55" w:rsidP="009F01D8">
      <w:pPr>
        <w:pStyle w:val="Corpotesto"/>
        <w:widowControl w:val="0"/>
        <w:numPr>
          <w:ilvl w:val="0"/>
          <w:numId w:val="5"/>
        </w:numPr>
        <w:tabs>
          <w:tab w:val="left" w:pos="567"/>
        </w:tabs>
        <w:spacing w:line="567" w:lineRule="atLeast"/>
        <w:ind w:left="0" w:firstLine="0"/>
        <w:rPr>
          <w:rFonts w:ascii="Verdana" w:hAnsi="Verdana"/>
          <w:sz w:val="20"/>
        </w:rPr>
      </w:pPr>
      <w:r w:rsidRPr="00A86046">
        <w:rPr>
          <w:rFonts w:ascii="Verdana" w:hAnsi="Verdana"/>
          <w:sz w:val="20"/>
        </w:rPr>
        <w:t xml:space="preserve">le riduzioni </w:t>
      </w:r>
      <w:r w:rsidR="000B4E16" w:rsidRPr="00A86046">
        <w:rPr>
          <w:rFonts w:ascii="Verdana" w:hAnsi="Verdana"/>
          <w:sz w:val="20"/>
        </w:rPr>
        <w:t xml:space="preserve">proporzionali alle riduzioni del personale per 208,30 euro pari alla riduzioni di personale del quadriennio considerato, con un totale residuo di fondo per il 2015 di </w:t>
      </w:r>
      <w:r w:rsidR="008E6AF2" w:rsidRPr="00A86046">
        <w:rPr>
          <w:rFonts w:ascii="Verdana" w:hAnsi="Verdana"/>
          <w:sz w:val="20"/>
        </w:rPr>
        <w:t>481,70</w:t>
      </w:r>
      <w:r w:rsidR="000B4E16" w:rsidRPr="00A86046">
        <w:rPr>
          <w:rFonts w:ascii="Verdana" w:hAnsi="Verdana"/>
          <w:sz w:val="20"/>
        </w:rPr>
        <w:t xml:space="preserve"> euro.</w:t>
      </w:r>
    </w:p>
    <w:p w:rsidR="00247B23" w:rsidRPr="00A86046" w:rsidRDefault="00247B23" w:rsidP="00247B23">
      <w:pPr>
        <w:pStyle w:val="Corpotesto"/>
        <w:widowControl w:val="0"/>
        <w:spacing w:line="567" w:lineRule="atLeast"/>
        <w:ind w:firstLine="539"/>
        <w:rPr>
          <w:rFonts w:ascii="Verdana" w:hAnsi="Verdana"/>
          <w:sz w:val="20"/>
        </w:rPr>
      </w:pPr>
      <w:r>
        <w:rPr>
          <w:rFonts w:ascii="Verdana" w:hAnsi="Verdana"/>
          <w:sz w:val="20"/>
        </w:rPr>
        <w:t>C</w:t>
      </w:r>
      <w:r w:rsidRPr="00A86046">
        <w:rPr>
          <w:rFonts w:ascii="Verdana" w:hAnsi="Verdana"/>
          <w:sz w:val="20"/>
        </w:rPr>
        <w:t xml:space="preserve">on riferimento specifico alla decurtazione legata alla riduzione di personale, le modalità di calcolo adottate non possono portare a considerare ripetutamente, in più anni, le medesime cessazioni. Conseguentemente, se la riduzione calcolata nel 2014 </w:t>
      </w:r>
      <w:r>
        <w:rPr>
          <w:rFonts w:ascii="Verdana" w:hAnsi="Verdana"/>
          <w:sz w:val="20"/>
        </w:rPr>
        <w:t xml:space="preserve">(come nell’esempio addotto) </w:t>
      </w:r>
      <w:r w:rsidRPr="00A86046">
        <w:rPr>
          <w:rFonts w:ascii="Verdana" w:hAnsi="Verdana"/>
          <w:sz w:val="20"/>
        </w:rPr>
        <w:t>include anche quelle operate nei precedenti esercizi (essendo la percentuale di calcolo determinata dal rapporto tra personale del 2014 e quello 2010</w:t>
      </w:r>
      <w:r>
        <w:rPr>
          <w:rFonts w:ascii="Verdana" w:hAnsi="Verdana"/>
          <w:sz w:val="20"/>
        </w:rPr>
        <w:t xml:space="preserve"> e comprensiva</w:t>
      </w:r>
      <w:r w:rsidR="009F01D8">
        <w:rPr>
          <w:rFonts w:ascii="Verdana" w:hAnsi="Verdana"/>
          <w:sz w:val="20"/>
        </w:rPr>
        <w:t>,</w:t>
      </w:r>
      <w:r>
        <w:rPr>
          <w:rFonts w:ascii="Verdana" w:hAnsi="Verdana"/>
          <w:sz w:val="20"/>
        </w:rPr>
        <w:t xml:space="preserve"> dunque</w:t>
      </w:r>
      <w:r w:rsidR="009F01D8">
        <w:rPr>
          <w:rFonts w:ascii="Verdana" w:hAnsi="Verdana"/>
          <w:sz w:val="20"/>
        </w:rPr>
        <w:t>,</w:t>
      </w:r>
      <w:r>
        <w:rPr>
          <w:rFonts w:ascii="Verdana" w:hAnsi="Verdana"/>
          <w:sz w:val="20"/>
        </w:rPr>
        <w:t xml:space="preserve"> anche delle cessazioni operate nel triennio precedente</w:t>
      </w:r>
      <w:r w:rsidRPr="00A86046">
        <w:rPr>
          <w:rFonts w:ascii="Verdana" w:hAnsi="Verdana"/>
          <w:sz w:val="20"/>
        </w:rPr>
        <w:t xml:space="preserve">), sarà solamente quest’ultima a concorrere, insieme a quelle legate al superamento del tetto, alla determinazione della decurtazione permanente </w:t>
      </w:r>
      <w:r w:rsidRPr="00247B23">
        <w:rPr>
          <w:rFonts w:ascii="Verdana" w:hAnsi="Verdana"/>
          <w:sz w:val="20"/>
        </w:rPr>
        <w:t>dall’</w:t>
      </w:r>
      <w:r w:rsidR="009F01D8">
        <w:rPr>
          <w:rFonts w:ascii="Verdana" w:hAnsi="Verdana"/>
          <w:sz w:val="20"/>
        </w:rPr>
        <w:t>0</w:t>
      </w:r>
      <w:r w:rsidRPr="00247B23">
        <w:rPr>
          <w:rFonts w:ascii="Verdana" w:hAnsi="Verdana"/>
          <w:sz w:val="20"/>
        </w:rPr>
        <w:t>1.</w:t>
      </w:r>
      <w:r w:rsidR="009F01D8">
        <w:rPr>
          <w:rFonts w:ascii="Verdana" w:hAnsi="Verdana"/>
          <w:sz w:val="20"/>
        </w:rPr>
        <w:t>0</w:t>
      </w:r>
      <w:r w:rsidRPr="00247B23">
        <w:rPr>
          <w:rFonts w:ascii="Verdana" w:hAnsi="Verdana"/>
          <w:sz w:val="20"/>
        </w:rPr>
        <w:t>1.2015</w:t>
      </w:r>
      <w:r w:rsidR="009F01D8">
        <w:rPr>
          <w:rFonts w:ascii="Verdana" w:hAnsi="Verdana"/>
          <w:sz w:val="20"/>
        </w:rPr>
        <w:t>.</w:t>
      </w:r>
    </w:p>
    <w:p w:rsidR="00D77BBA" w:rsidRDefault="005F4C56" w:rsidP="00494320">
      <w:pPr>
        <w:pStyle w:val="Corpotesto"/>
        <w:widowControl w:val="0"/>
        <w:spacing w:line="567" w:lineRule="atLeast"/>
        <w:ind w:firstLine="539"/>
        <w:rPr>
          <w:rFonts w:ascii="Verdana" w:hAnsi="Verdana"/>
          <w:sz w:val="20"/>
        </w:rPr>
      </w:pPr>
      <w:r>
        <w:rPr>
          <w:rFonts w:ascii="Verdana" w:hAnsi="Verdana"/>
          <w:sz w:val="20"/>
        </w:rPr>
        <w:t>Riepilogando, l’allungamento,</w:t>
      </w:r>
      <w:r w:rsidR="001458A4">
        <w:rPr>
          <w:rFonts w:ascii="Verdana" w:hAnsi="Verdana"/>
          <w:sz w:val="20"/>
        </w:rPr>
        <w:t xml:space="preserve"> al 31.12.2014, dei vincoli già previsti per gli anni 2011-2013, comporta che il fondo per la contrattazione decentrata non possa superare nel 2014 il tetto del fondo del 2010 e che lo stesso vada ridotto in proporzione alla riduzione del personale in </w:t>
      </w:r>
      <w:r w:rsidR="001458A4" w:rsidRPr="005F4C56">
        <w:rPr>
          <w:rFonts w:ascii="Verdana" w:hAnsi="Verdana"/>
          <w:sz w:val="20"/>
        </w:rPr>
        <w:lastRenderedPageBreak/>
        <w:t xml:space="preserve">servizio. </w:t>
      </w:r>
    </w:p>
    <w:p w:rsidR="001458A4" w:rsidRPr="00247B23" w:rsidRDefault="00D77BBA" w:rsidP="00494320">
      <w:pPr>
        <w:pStyle w:val="Corpotesto"/>
        <w:widowControl w:val="0"/>
        <w:spacing w:line="567" w:lineRule="atLeast"/>
        <w:ind w:firstLine="539"/>
        <w:rPr>
          <w:rFonts w:ascii="Verdana" w:hAnsi="Verdana"/>
          <w:sz w:val="20"/>
        </w:rPr>
      </w:pPr>
      <w:r>
        <w:rPr>
          <w:rFonts w:ascii="Verdana" w:hAnsi="Verdana"/>
          <w:sz w:val="20"/>
        </w:rPr>
        <w:t>Dal</w:t>
      </w:r>
      <w:r w:rsidR="001458A4" w:rsidRPr="005F4C56">
        <w:rPr>
          <w:rFonts w:ascii="Verdana" w:hAnsi="Verdana"/>
          <w:sz w:val="20"/>
        </w:rPr>
        <w:t xml:space="preserve"> 2015, invece, non si dovranno operare </w:t>
      </w:r>
      <w:r w:rsidR="00A86046">
        <w:rPr>
          <w:rFonts w:ascii="Verdana" w:hAnsi="Verdana"/>
          <w:sz w:val="20"/>
        </w:rPr>
        <w:t xml:space="preserve">più </w:t>
      </w:r>
      <w:r w:rsidR="001458A4" w:rsidRPr="005F4C56">
        <w:rPr>
          <w:rFonts w:ascii="Verdana" w:hAnsi="Verdana"/>
          <w:sz w:val="20"/>
        </w:rPr>
        <w:t>riduzioni</w:t>
      </w:r>
      <w:r w:rsidR="00160447" w:rsidRPr="005F4C56">
        <w:rPr>
          <w:rFonts w:ascii="Verdana" w:hAnsi="Verdana"/>
          <w:sz w:val="20"/>
        </w:rPr>
        <w:t xml:space="preserve"> </w:t>
      </w:r>
      <w:r w:rsidR="001458A4" w:rsidRPr="005F4C56">
        <w:rPr>
          <w:rFonts w:ascii="Verdana" w:hAnsi="Verdana"/>
          <w:sz w:val="20"/>
        </w:rPr>
        <w:t xml:space="preserve">legate alla diminuzione del personale, ma, calcolato il fondo secondo le regole </w:t>
      </w:r>
      <w:r w:rsidR="001458A4" w:rsidRPr="00247B23">
        <w:rPr>
          <w:rFonts w:ascii="Verdana" w:hAnsi="Verdana"/>
          <w:sz w:val="20"/>
        </w:rPr>
        <w:t xml:space="preserve">contrattuali, ad esso </w:t>
      </w:r>
      <w:r w:rsidRPr="00247B23">
        <w:rPr>
          <w:rFonts w:ascii="Verdana" w:hAnsi="Verdana"/>
          <w:sz w:val="20"/>
        </w:rPr>
        <w:t>andrà</w:t>
      </w:r>
      <w:r w:rsidR="001458A4" w:rsidRPr="00247B23">
        <w:rPr>
          <w:rFonts w:ascii="Verdana" w:hAnsi="Verdana"/>
          <w:sz w:val="20"/>
        </w:rPr>
        <w:t xml:space="preserve"> applicata la decurtazione pari alla somma </w:t>
      </w:r>
      <w:r w:rsidRPr="00247B23">
        <w:rPr>
          <w:rFonts w:ascii="Verdana" w:hAnsi="Verdana"/>
          <w:sz w:val="20"/>
        </w:rPr>
        <w:t>di tutte le</w:t>
      </w:r>
      <w:r w:rsidR="001458A4" w:rsidRPr="00247B23">
        <w:rPr>
          <w:rFonts w:ascii="Verdana" w:hAnsi="Verdana"/>
          <w:sz w:val="20"/>
        </w:rPr>
        <w:t xml:space="preserve"> riduzion</w:t>
      </w:r>
      <w:r w:rsidRPr="00247B23">
        <w:rPr>
          <w:rFonts w:ascii="Verdana" w:hAnsi="Verdana"/>
          <w:sz w:val="20"/>
        </w:rPr>
        <w:t>i operate nel periodo 2011-2014.</w:t>
      </w:r>
    </w:p>
    <w:p w:rsidR="005F4C56" w:rsidRPr="005F4C56" w:rsidRDefault="005F4C56" w:rsidP="00245E8D">
      <w:pPr>
        <w:widowControl w:val="0"/>
        <w:spacing w:after="0" w:line="567" w:lineRule="exact"/>
        <w:ind w:firstLine="539"/>
        <w:jc w:val="center"/>
        <w:rPr>
          <w:rFonts w:ascii="Verdana" w:hAnsi="Verdana"/>
          <w:b/>
          <w:sz w:val="20"/>
          <w:szCs w:val="20"/>
        </w:rPr>
      </w:pPr>
      <w:r w:rsidRPr="005F4C56">
        <w:rPr>
          <w:rFonts w:ascii="Verdana" w:hAnsi="Verdana"/>
          <w:b/>
          <w:sz w:val="20"/>
          <w:szCs w:val="20"/>
        </w:rPr>
        <w:t>P.Q</w:t>
      </w:r>
      <w:r w:rsidR="00245E8D">
        <w:rPr>
          <w:rFonts w:ascii="Verdana" w:hAnsi="Verdana"/>
          <w:b/>
          <w:sz w:val="20"/>
          <w:szCs w:val="20"/>
        </w:rPr>
        <w:t>.</w:t>
      </w:r>
      <w:r w:rsidRPr="005F4C56">
        <w:rPr>
          <w:rFonts w:ascii="Verdana" w:hAnsi="Verdana"/>
          <w:b/>
          <w:sz w:val="20"/>
          <w:szCs w:val="20"/>
        </w:rPr>
        <w:t>M.</w:t>
      </w:r>
    </w:p>
    <w:p w:rsidR="005F4C56" w:rsidRPr="005F4C56" w:rsidRDefault="005F4C56" w:rsidP="00245E8D">
      <w:pPr>
        <w:widowControl w:val="0"/>
        <w:spacing w:after="0" w:line="567" w:lineRule="exact"/>
        <w:ind w:firstLine="539"/>
        <w:jc w:val="center"/>
        <w:rPr>
          <w:rFonts w:ascii="Verdana" w:hAnsi="Verdana"/>
          <w:b/>
          <w:sz w:val="20"/>
          <w:szCs w:val="20"/>
        </w:rPr>
      </w:pPr>
      <w:r w:rsidRPr="005F4C56">
        <w:rPr>
          <w:rFonts w:ascii="Verdana" w:hAnsi="Verdana"/>
          <w:b/>
          <w:sz w:val="20"/>
          <w:szCs w:val="20"/>
        </w:rPr>
        <w:t>DELIBERA</w:t>
      </w:r>
    </w:p>
    <w:p w:rsidR="005F4C56" w:rsidRDefault="005F4C56" w:rsidP="00DA6A4C">
      <w:pPr>
        <w:pStyle w:val="Corpotesto"/>
        <w:widowControl w:val="0"/>
        <w:spacing w:line="568" w:lineRule="exact"/>
        <w:ind w:firstLine="539"/>
        <w:rPr>
          <w:rFonts w:ascii="Verdana" w:hAnsi="Verdana"/>
          <w:sz w:val="20"/>
        </w:rPr>
      </w:pPr>
      <w:r w:rsidRPr="005F4C56">
        <w:rPr>
          <w:rFonts w:ascii="Verdana" w:hAnsi="Verdana"/>
          <w:sz w:val="20"/>
        </w:rPr>
        <w:t xml:space="preserve">che il quesito sottoposto dal </w:t>
      </w:r>
      <w:r w:rsidRPr="00611163">
        <w:rPr>
          <w:rFonts w:ascii="Verdana" w:hAnsi="Verdana"/>
          <w:sz w:val="20"/>
        </w:rPr>
        <w:t xml:space="preserve">Presidente del </w:t>
      </w:r>
      <w:r w:rsidR="007F3E47">
        <w:rPr>
          <w:rFonts w:ascii="Verdana" w:hAnsi="Verdana"/>
          <w:sz w:val="20"/>
        </w:rPr>
        <w:t>C</w:t>
      </w:r>
      <w:r w:rsidRPr="00611163">
        <w:rPr>
          <w:rFonts w:ascii="Verdana" w:hAnsi="Verdana"/>
          <w:sz w:val="20"/>
        </w:rPr>
        <w:t>onsiglio regionale d’Abruzzo</w:t>
      </w:r>
      <w:r w:rsidRPr="005F4C56">
        <w:rPr>
          <w:rFonts w:ascii="Verdana" w:hAnsi="Verdana"/>
          <w:b/>
          <w:sz w:val="20"/>
        </w:rPr>
        <w:t xml:space="preserve"> </w:t>
      </w:r>
      <w:r w:rsidRPr="005F4C56">
        <w:rPr>
          <w:rFonts w:ascii="Verdana" w:hAnsi="Verdana"/>
          <w:sz w:val="20"/>
        </w:rPr>
        <w:t>al parere della Sezione possa essere risolto alla stregua delle considerazioni sopra esposte.</w:t>
      </w:r>
    </w:p>
    <w:p w:rsidR="005F4C56" w:rsidRPr="005F4C56" w:rsidRDefault="005F4C56" w:rsidP="00245E8D">
      <w:pPr>
        <w:widowControl w:val="0"/>
        <w:spacing w:after="0" w:line="567" w:lineRule="exact"/>
        <w:ind w:firstLine="539"/>
        <w:jc w:val="center"/>
        <w:rPr>
          <w:rFonts w:ascii="Verdana" w:hAnsi="Verdana"/>
          <w:b/>
          <w:sz w:val="20"/>
          <w:szCs w:val="20"/>
        </w:rPr>
      </w:pPr>
      <w:r w:rsidRPr="005F4C56">
        <w:rPr>
          <w:rFonts w:ascii="Verdana" w:hAnsi="Verdana"/>
          <w:b/>
          <w:sz w:val="20"/>
          <w:szCs w:val="20"/>
        </w:rPr>
        <w:t>DISPONE</w:t>
      </w:r>
    </w:p>
    <w:p w:rsidR="005F4C56" w:rsidRPr="005F4C56" w:rsidRDefault="005F4C56" w:rsidP="009F01D8">
      <w:pPr>
        <w:widowControl w:val="0"/>
        <w:spacing w:after="0" w:line="567" w:lineRule="atLeast"/>
        <w:ind w:firstLine="709"/>
        <w:jc w:val="both"/>
        <w:rPr>
          <w:rFonts w:ascii="Verdana" w:hAnsi="Verdana"/>
          <w:sz w:val="20"/>
          <w:szCs w:val="20"/>
        </w:rPr>
      </w:pPr>
      <w:r w:rsidRPr="005F4C56">
        <w:rPr>
          <w:rFonts w:ascii="Verdana" w:hAnsi="Verdana"/>
          <w:sz w:val="20"/>
          <w:szCs w:val="20"/>
        </w:rPr>
        <w:t>che copia della presente deliberazione sia trasmessa, a cura della Segreteria, al</w:t>
      </w:r>
      <w:r w:rsidRPr="005F4C56">
        <w:rPr>
          <w:rFonts w:ascii="Verdana" w:hAnsi="Verdana"/>
          <w:b/>
          <w:sz w:val="20"/>
          <w:szCs w:val="20"/>
        </w:rPr>
        <w:t xml:space="preserve"> </w:t>
      </w:r>
      <w:r w:rsidRPr="005F4C56">
        <w:rPr>
          <w:rFonts w:ascii="Verdana" w:hAnsi="Verdana"/>
          <w:sz w:val="20"/>
          <w:szCs w:val="20"/>
        </w:rPr>
        <w:t xml:space="preserve">Presidente del </w:t>
      </w:r>
      <w:r w:rsidR="007F3E47">
        <w:rPr>
          <w:rFonts w:ascii="Verdana" w:hAnsi="Verdana"/>
          <w:sz w:val="20"/>
          <w:szCs w:val="20"/>
        </w:rPr>
        <w:t>C</w:t>
      </w:r>
      <w:r w:rsidRPr="005F4C56">
        <w:rPr>
          <w:rFonts w:ascii="Verdana" w:hAnsi="Verdana"/>
          <w:sz w:val="20"/>
          <w:szCs w:val="20"/>
        </w:rPr>
        <w:t>onsiglio regionale d’Abruzzo e al  Presidente della Regione medesima.</w:t>
      </w:r>
    </w:p>
    <w:p w:rsidR="005F4C56" w:rsidRDefault="005F4C56" w:rsidP="009F01D8">
      <w:pPr>
        <w:widowControl w:val="0"/>
        <w:spacing w:after="0" w:line="567" w:lineRule="atLeast"/>
        <w:ind w:firstLine="709"/>
        <w:jc w:val="both"/>
        <w:rPr>
          <w:rFonts w:ascii="Verdana" w:hAnsi="Verdana"/>
          <w:sz w:val="20"/>
          <w:szCs w:val="20"/>
        </w:rPr>
      </w:pPr>
      <w:r w:rsidRPr="005F4C56">
        <w:rPr>
          <w:rFonts w:ascii="Verdana" w:hAnsi="Verdana"/>
          <w:sz w:val="20"/>
          <w:szCs w:val="20"/>
        </w:rPr>
        <w:t>Così deliberato a L'Aquila, nella Camera d</w:t>
      </w:r>
      <w:r w:rsidR="00BA0CF2">
        <w:rPr>
          <w:rFonts w:ascii="Verdana" w:hAnsi="Verdana"/>
          <w:sz w:val="20"/>
          <w:szCs w:val="20"/>
        </w:rPr>
        <w:t>i consiglio del 20 maggio 2015</w:t>
      </w:r>
      <w:r w:rsidRPr="005F4C56">
        <w:rPr>
          <w:rFonts w:ascii="Verdana" w:hAnsi="Verdana"/>
          <w:sz w:val="20"/>
          <w:szCs w:val="20"/>
        </w:rPr>
        <w:t>.</w:t>
      </w:r>
    </w:p>
    <w:p w:rsidR="009F36B5" w:rsidRPr="005F4C56" w:rsidRDefault="009F36B5" w:rsidP="005F4C56">
      <w:pPr>
        <w:widowControl w:val="0"/>
        <w:spacing w:line="567" w:lineRule="atLeast"/>
        <w:ind w:firstLine="709"/>
        <w:jc w:val="both"/>
        <w:rPr>
          <w:rFonts w:ascii="Verdana" w:hAnsi="Verdana"/>
          <w:sz w:val="20"/>
          <w:szCs w:val="20"/>
        </w:rPr>
      </w:pPr>
    </w:p>
    <w:tbl>
      <w:tblPr>
        <w:tblW w:w="5000" w:type="pct"/>
        <w:tblCellMar>
          <w:left w:w="70" w:type="dxa"/>
          <w:right w:w="70" w:type="dxa"/>
        </w:tblCellMar>
        <w:tblLook w:val="0000" w:firstRow="0" w:lastRow="0" w:firstColumn="0" w:lastColumn="0" w:noHBand="0" w:noVBand="0"/>
      </w:tblPr>
      <w:tblGrid>
        <w:gridCol w:w="3093"/>
        <w:gridCol w:w="662"/>
        <w:gridCol w:w="3755"/>
      </w:tblGrid>
      <w:tr w:rsidR="005F4C56" w:rsidRPr="00A7146E" w:rsidTr="009D6204">
        <w:tc>
          <w:tcPr>
            <w:tcW w:w="2059" w:type="pct"/>
          </w:tcPr>
          <w:p w:rsidR="005F4C56" w:rsidRPr="00A7146E" w:rsidRDefault="005F4C56" w:rsidP="00DA6A4C">
            <w:pPr>
              <w:spacing w:after="120" w:line="360" w:lineRule="auto"/>
              <w:ind w:firstLine="709"/>
              <w:jc w:val="center"/>
              <w:rPr>
                <w:rFonts w:ascii="Verdana" w:hAnsi="Verdana"/>
                <w:sz w:val="20"/>
              </w:rPr>
            </w:pPr>
            <w:r w:rsidRPr="00A7146E">
              <w:rPr>
                <w:rFonts w:ascii="Verdana" w:hAnsi="Verdana"/>
                <w:sz w:val="20"/>
              </w:rPr>
              <w:t>L’Estensore</w:t>
            </w:r>
          </w:p>
          <w:p w:rsidR="005F4C56" w:rsidRPr="00A7146E" w:rsidRDefault="00D41FE7" w:rsidP="00DA6A4C">
            <w:pPr>
              <w:spacing w:after="120" w:line="360" w:lineRule="auto"/>
              <w:ind w:firstLine="709"/>
              <w:jc w:val="center"/>
              <w:rPr>
                <w:rFonts w:ascii="Verdana" w:hAnsi="Verdana"/>
                <w:sz w:val="20"/>
              </w:rPr>
            </w:pPr>
            <w:r>
              <w:rPr>
                <w:rFonts w:ascii="Verdana" w:hAnsi="Verdana"/>
                <w:sz w:val="20"/>
              </w:rPr>
              <w:t xml:space="preserve">F.to </w:t>
            </w:r>
            <w:r w:rsidR="005F4C56" w:rsidRPr="00A7146E">
              <w:rPr>
                <w:rFonts w:ascii="Verdana" w:hAnsi="Verdana"/>
                <w:sz w:val="20"/>
              </w:rPr>
              <w:t>Lucilla VALENTE</w:t>
            </w:r>
          </w:p>
        </w:tc>
        <w:tc>
          <w:tcPr>
            <w:tcW w:w="441" w:type="pct"/>
          </w:tcPr>
          <w:p w:rsidR="005F4C56" w:rsidRPr="00A7146E" w:rsidRDefault="005F4C56" w:rsidP="00DA6A4C">
            <w:pPr>
              <w:spacing w:after="120" w:line="360" w:lineRule="auto"/>
              <w:ind w:firstLine="709"/>
              <w:jc w:val="center"/>
              <w:rPr>
                <w:rFonts w:ascii="Verdana" w:hAnsi="Verdana"/>
                <w:sz w:val="20"/>
              </w:rPr>
            </w:pPr>
          </w:p>
        </w:tc>
        <w:tc>
          <w:tcPr>
            <w:tcW w:w="2500" w:type="pct"/>
          </w:tcPr>
          <w:p w:rsidR="005F4C56" w:rsidRPr="00A7146E" w:rsidRDefault="005F4C56" w:rsidP="00DA6A4C">
            <w:pPr>
              <w:spacing w:after="120" w:line="360" w:lineRule="auto"/>
              <w:ind w:firstLine="16"/>
              <w:jc w:val="center"/>
              <w:rPr>
                <w:rFonts w:ascii="Verdana" w:hAnsi="Verdana"/>
                <w:sz w:val="20"/>
              </w:rPr>
            </w:pPr>
            <w:r w:rsidRPr="00A7146E">
              <w:rPr>
                <w:rFonts w:ascii="Verdana" w:hAnsi="Verdana"/>
                <w:sz w:val="20"/>
              </w:rPr>
              <w:t>Il Presidente</w:t>
            </w:r>
          </w:p>
          <w:p w:rsidR="005F4C56" w:rsidRPr="00A7146E" w:rsidRDefault="00D41FE7" w:rsidP="00D41FE7">
            <w:pPr>
              <w:spacing w:after="120" w:line="360" w:lineRule="auto"/>
              <w:jc w:val="center"/>
              <w:rPr>
                <w:rFonts w:ascii="Verdana" w:hAnsi="Verdana"/>
                <w:sz w:val="20"/>
              </w:rPr>
            </w:pPr>
            <w:r>
              <w:rPr>
                <w:rFonts w:ascii="Verdana" w:hAnsi="Verdana"/>
                <w:sz w:val="20"/>
              </w:rPr>
              <w:t xml:space="preserve">F.to </w:t>
            </w:r>
            <w:r w:rsidR="005F4C56" w:rsidRPr="00A7146E">
              <w:rPr>
                <w:rFonts w:ascii="Verdana" w:hAnsi="Verdana"/>
                <w:sz w:val="20"/>
              </w:rPr>
              <w:t>Maria Giovanna GIORDANO</w:t>
            </w:r>
          </w:p>
        </w:tc>
      </w:tr>
    </w:tbl>
    <w:p w:rsidR="00DA6A4C" w:rsidRDefault="00DA6A4C" w:rsidP="00D13C03">
      <w:pPr>
        <w:pStyle w:val="Corpodeltesto21"/>
        <w:widowControl w:val="0"/>
        <w:spacing w:line="360" w:lineRule="auto"/>
        <w:ind w:left="0" w:firstLine="0"/>
        <w:rPr>
          <w:rFonts w:ascii="Verdana" w:hAnsi="Verdana" w:cs="Arial"/>
          <w:sz w:val="20"/>
        </w:rPr>
      </w:pPr>
    </w:p>
    <w:p w:rsidR="00011413" w:rsidRDefault="00011413" w:rsidP="00D13C03">
      <w:pPr>
        <w:pStyle w:val="Corpodeltesto21"/>
        <w:widowControl w:val="0"/>
        <w:spacing w:line="360" w:lineRule="auto"/>
        <w:ind w:left="0" w:firstLine="0"/>
        <w:rPr>
          <w:rFonts w:ascii="Verdana" w:hAnsi="Verdana" w:cs="Arial"/>
          <w:sz w:val="20"/>
        </w:rPr>
      </w:pPr>
    </w:p>
    <w:p w:rsidR="009F01D8" w:rsidRDefault="009F01D8" w:rsidP="00D13C03">
      <w:pPr>
        <w:pStyle w:val="Corpodeltesto21"/>
        <w:widowControl w:val="0"/>
        <w:spacing w:line="360" w:lineRule="auto"/>
        <w:ind w:left="0" w:firstLine="0"/>
        <w:rPr>
          <w:rFonts w:ascii="Verdana" w:hAnsi="Verdana" w:cs="Arial"/>
          <w:sz w:val="20"/>
        </w:rPr>
      </w:pPr>
    </w:p>
    <w:p w:rsidR="00C706F9" w:rsidRDefault="008448E8" w:rsidP="00D13C03">
      <w:pPr>
        <w:pStyle w:val="Corpodeltesto21"/>
        <w:widowControl w:val="0"/>
        <w:spacing w:line="360" w:lineRule="auto"/>
        <w:ind w:left="0" w:firstLine="0"/>
        <w:rPr>
          <w:rFonts w:ascii="Verdana" w:hAnsi="Verdana" w:cs="Arial"/>
          <w:sz w:val="20"/>
        </w:rPr>
      </w:pPr>
      <w:r>
        <w:rPr>
          <w:rFonts w:ascii="Verdana" w:hAnsi="Verdana" w:cs="Arial"/>
          <w:sz w:val="20"/>
        </w:rPr>
        <w:t>Depositata in Segreteria il</w:t>
      </w:r>
      <w:r w:rsidR="00D41FE7">
        <w:rPr>
          <w:rFonts w:ascii="Verdana" w:hAnsi="Verdana" w:cs="Arial"/>
          <w:sz w:val="20"/>
        </w:rPr>
        <w:t xml:space="preserve"> 19 giugno 2015</w:t>
      </w:r>
    </w:p>
    <w:p w:rsidR="00B2265B" w:rsidRDefault="00B2265B" w:rsidP="00444F05">
      <w:pPr>
        <w:pStyle w:val="Corpodeltesto21"/>
        <w:widowControl w:val="0"/>
        <w:spacing w:line="360" w:lineRule="auto"/>
        <w:ind w:left="0" w:firstLine="0"/>
        <w:rPr>
          <w:rFonts w:ascii="Verdana" w:hAnsi="Verdana" w:cs="Arial"/>
          <w:sz w:val="20"/>
        </w:rPr>
      </w:pPr>
    </w:p>
    <w:p w:rsidR="000B5D40" w:rsidRDefault="00D13C03" w:rsidP="00444F05">
      <w:pPr>
        <w:pStyle w:val="Corpodeltesto21"/>
        <w:widowControl w:val="0"/>
        <w:spacing w:line="360" w:lineRule="auto"/>
        <w:ind w:left="0" w:firstLine="0"/>
        <w:rPr>
          <w:rFonts w:ascii="Verdana" w:hAnsi="Verdana" w:cs="Arial"/>
          <w:sz w:val="20"/>
        </w:rPr>
      </w:pPr>
      <w:r w:rsidRPr="00640C3A">
        <w:rPr>
          <w:rFonts w:ascii="Verdana" w:hAnsi="Verdana" w:cs="Arial"/>
          <w:sz w:val="20"/>
        </w:rPr>
        <w:t>Il Funzionario</w:t>
      </w:r>
      <w:r w:rsidR="00B2265B">
        <w:rPr>
          <w:rFonts w:ascii="Verdana" w:hAnsi="Verdana" w:cs="Arial"/>
          <w:sz w:val="20"/>
        </w:rPr>
        <w:t xml:space="preserve"> preposto al Servizio di Supporto</w:t>
      </w:r>
    </w:p>
    <w:p w:rsidR="00B2265B" w:rsidRPr="00444F05" w:rsidRDefault="00D41FE7" w:rsidP="00444F05">
      <w:pPr>
        <w:pStyle w:val="Corpodeltesto21"/>
        <w:widowControl w:val="0"/>
        <w:spacing w:line="360" w:lineRule="auto"/>
        <w:ind w:left="0" w:firstLine="0"/>
        <w:rPr>
          <w:rFonts w:ascii="Verdana" w:hAnsi="Verdana" w:cs="Arial"/>
          <w:sz w:val="20"/>
        </w:rPr>
      </w:pPr>
      <w:r>
        <w:rPr>
          <w:rFonts w:ascii="Verdana" w:hAnsi="Verdana" w:cs="Arial"/>
          <w:sz w:val="20"/>
        </w:rPr>
        <w:t xml:space="preserve">             F.to </w:t>
      </w:r>
      <w:r w:rsidR="00D8021A">
        <w:rPr>
          <w:rFonts w:ascii="Verdana" w:hAnsi="Verdana" w:cs="Arial"/>
          <w:sz w:val="20"/>
        </w:rPr>
        <w:t>Lorella Giammaria</w:t>
      </w:r>
    </w:p>
    <w:sectPr w:rsidR="00B2265B" w:rsidRPr="00444F05" w:rsidSect="004F66C0">
      <w:headerReference w:type="even" r:id="rId11"/>
      <w:headerReference w:type="default" r:id="rId12"/>
      <w:headerReference w:type="first" r:id="rId13"/>
      <w:pgSz w:w="11906" w:h="16838"/>
      <w:pgMar w:top="2010" w:right="2835" w:bottom="1418" w:left="1701"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1C6" w:rsidRDefault="007261C6">
      <w:r>
        <w:separator/>
      </w:r>
    </w:p>
  </w:endnote>
  <w:endnote w:type="continuationSeparator" w:id="0">
    <w:p w:rsidR="007261C6" w:rsidRDefault="0072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1C6" w:rsidRDefault="007261C6">
      <w:r>
        <w:separator/>
      </w:r>
    </w:p>
  </w:footnote>
  <w:footnote w:type="continuationSeparator" w:id="0">
    <w:p w:rsidR="007261C6" w:rsidRDefault="00726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7BE" w:rsidRDefault="002747BE" w:rsidP="00472753">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2747BE" w:rsidRDefault="002747B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7BE" w:rsidRDefault="002747BE" w:rsidP="00472753">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21A19">
      <w:rPr>
        <w:rStyle w:val="Numeropagina"/>
        <w:noProof/>
      </w:rPr>
      <w:t>9</w:t>
    </w:r>
    <w:r>
      <w:rPr>
        <w:rStyle w:val="Numeropagina"/>
      </w:rPr>
      <w:fldChar w:fldCharType="end"/>
    </w:r>
  </w:p>
  <w:p w:rsidR="002747BE" w:rsidRDefault="002747BE">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6C0" w:rsidRDefault="002A5039" w:rsidP="004F66C0">
    <w:pPr>
      <w:pStyle w:val="Intestazione"/>
      <w:ind w:left="567"/>
      <w:jc w:val="center"/>
    </w:pPr>
    <w:r>
      <w:rPr>
        <w:noProof/>
      </w:rPr>
      <w:drawing>
        <wp:inline distT="0" distB="0" distL="0" distR="0" wp14:anchorId="096A8BAE" wp14:editId="577D53FF">
          <wp:extent cx="678180" cy="7391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81116" cy="742340"/>
                  </a:xfrm>
                  <a:prstGeom prst="rect">
                    <a:avLst/>
                  </a:prstGeom>
                  <a:noFill/>
                  <a:ln w="9525">
                    <a:noFill/>
                    <a:miter lim="800000"/>
                    <a:headEnd/>
                    <a:tailEnd/>
                  </a:ln>
                </pic:spPr>
              </pic:pic>
            </a:graphicData>
          </a:graphic>
        </wp:inline>
      </w:drawing>
    </w:r>
  </w:p>
  <w:p w:rsidR="004F66C0" w:rsidRPr="006861C2" w:rsidRDefault="00D41FE7" w:rsidP="004F66C0">
    <w:pPr>
      <w:tabs>
        <w:tab w:val="center" w:pos="3742"/>
        <w:tab w:val="center" w:pos="4819"/>
        <w:tab w:val="left" w:pos="6510"/>
        <w:tab w:val="right" w:pos="9638"/>
      </w:tabs>
      <w:spacing w:after="0" w:line="240" w:lineRule="auto"/>
      <w:ind w:right="-710"/>
      <w:jc w:val="right"/>
      <w:rPr>
        <w:rFonts w:ascii="Arial" w:hAnsi="Arial"/>
        <w:sz w:val="24"/>
        <w:szCs w:val="20"/>
      </w:rPr>
    </w:pPr>
    <w:r>
      <w:rPr>
        <w:rFonts w:ascii="Verdana" w:hAnsi="Verdana"/>
        <w:bCs/>
        <w:sz w:val="20"/>
        <w:szCs w:val="20"/>
      </w:rPr>
      <w:t>Del. n. 179</w:t>
    </w:r>
    <w:r w:rsidR="004F66C0" w:rsidRPr="006861C2">
      <w:rPr>
        <w:rFonts w:ascii="Verdana" w:hAnsi="Verdana"/>
        <w:bCs/>
        <w:sz w:val="20"/>
        <w:szCs w:val="20"/>
      </w:rPr>
      <w:t>/2015/PAR</w:t>
    </w:r>
    <w:r w:rsidR="004F66C0" w:rsidRPr="006861C2">
      <w:rPr>
        <w:rFonts w:ascii="Verdana" w:hAnsi="Verdana"/>
        <w:bCs/>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23A17"/>
    <w:multiLevelType w:val="hybridMultilevel"/>
    <w:tmpl w:val="0958EF84"/>
    <w:lvl w:ilvl="0" w:tplc="0410000F">
      <w:start w:val="1"/>
      <w:numFmt w:val="decimal"/>
      <w:lvlText w:val="%1."/>
      <w:lvlJc w:val="left"/>
      <w:pPr>
        <w:ind w:left="1174" w:hanging="360"/>
      </w:pPr>
    </w:lvl>
    <w:lvl w:ilvl="1" w:tplc="45AC242E">
      <w:start w:val="1"/>
      <w:numFmt w:val="lowerLetter"/>
      <w:lvlText w:val="%2."/>
      <w:lvlJc w:val="left"/>
      <w:pPr>
        <w:ind w:left="1894" w:hanging="360"/>
      </w:pPr>
      <w:rPr>
        <w:b/>
      </w:rPr>
    </w:lvl>
    <w:lvl w:ilvl="2" w:tplc="0410001B" w:tentative="1">
      <w:start w:val="1"/>
      <w:numFmt w:val="lowerRoman"/>
      <w:lvlText w:val="%3."/>
      <w:lvlJc w:val="right"/>
      <w:pPr>
        <w:ind w:left="2614" w:hanging="180"/>
      </w:pPr>
    </w:lvl>
    <w:lvl w:ilvl="3" w:tplc="0410000F" w:tentative="1">
      <w:start w:val="1"/>
      <w:numFmt w:val="decimal"/>
      <w:lvlText w:val="%4."/>
      <w:lvlJc w:val="left"/>
      <w:pPr>
        <w:ind w:left="3334" w:hanging="360"/>
      </w:pPr>
    </w:lvl>
    <w:lvl w:ilvl="4" w:tplc="04100019" w:tentative="1">
      <w:start w:val="1"/>
      <w:numFmt w:val="lowerLetter"/>
      <w:lvlText w:val="%5."/>
      <w:lvlJc w:val="left"/>
      <w:pPr>
        <w:ind w:left="4054" w:hanging="360"/>
      </w:pPr>
    </w:lvl>
    <w:lvl w:ilvl="5" w:tplc="0410001B" w:tentative="1">
      <w:start w:val="1"/>
      <w:numFmt w:val="lowerRoman"/>
      <w:lvlText w:val="%6."/>
      <w:lvlJc w:val="right"/>
      <w:pPr>
        <w:ind w:left="4774" w:hanging="180"/>
      </w:pPr>
    </w:lvl>
    <w:lvl w:ilvl="6" w:tplc="0410000F" w:tentative="1">
      <w:start w:val="1"/>
      <w:numFmt w:val="decimal"/>
      <w:lvlText w:val="%7."/>
      <w:lvlJc w:val="left"/>
      <w:pPr>
        <w:ind w:left="5494" w:hanging="360"/>
      </w:pPr>
    </w:lvl>
    <w:lvl w:ilvl="7" w:tplc="04100019" w:tentative="1">
      <w:start w:val="1"/>
      <w:numFmt w:val="lowerLetter"/>
      <w:lvlText w:val="%8."/>
      <w:lvlJc w:val="left"/>
      <w:pPr>
        <w:ind w:left="6214" w:hanging="360"/>
      </w:pPr>
    </w:lvl>
    <w:lvl w:ilvl="8" w:tplc="0410001B" w:tentative="1">
      <w:start w:val="1"/>
      <w:numFmt w:val="lowerRoman"/>
      <w:lvlText w:val="%9."/>
      <w:lvlJc w:val="right"/>
      <w:pPr>
        <w:ind w:left="6934" w:hanging="180"/>
      </w:pPr>
    </w:lvl>
  </w:abstractNum>
  <w:abstractNum w:abstractNumId="1" w15:restartNumberingAfterBreak="0">
    <w:nsid w:val="280B68DC"/>
    <w:multiLevelType w:val="hybridMultilevel"/>
    <w:tmpl w:val="27D6C53C"/>
    <w:lvl w:ilvl="0" w:tplc="03ECF094">
      <w:start w:val="1"/>
      <w:numFmt w:val="lowerLetter"/>
      <w:lvlText w:val="%1)"/>
      <w:lvlJc w:val="left"/>
      <w:pPr>
        <w:ind w:left="1470" w:hanging="855"/>
      </w:pPr>
      <w:rPr>
        <w:rFonts w:hint="default"/>
      </w:rPr>
    </w:lvl>
    <w:lvl w:ilvl="1" w:tplc="04100019" w:tentative="1">
      <w:start w:val="1"/>
      <w:numFmt w:val="lowerLetter"/>
      <w:lvlText w:val="%2."/>
      <w:lvlJc w:val="left"/>
      <w:pPr>
        <w:ind w:left="1695" w:hanging="360"/>
      </w:pPr>
    </w:lvl>
    <w:lvl w:ilvl="2" w:tplc="0410001B" w:tentative="1">
      <w:start w:val="1"/>
      <w:numFmt w:val="lowerRoman"/>
      <w:lvlText w:val="%3."/>
      <w:lvlJc w:val="right"/>
      <w:pPr>
        <w:ind w:left="2415" w:hanging="180"/>
      </w:pPr>
    </w:lvl>
    <w:lvl w:ilvl="3" w:tplc="0410000F" w:tentative="1">
      <w:start w:val="1"/>
      <w:numFmt w:val="decimal"/>
      <w:lvlText w:val="%4."/>
      <w:lvlJc w:val="left"/>
      <w:pPr>
        <w:ind w:left="3135" w:hanging="360"/>
      </w:pPr>
    </w:lvl>
    <w:lvl w:ilvl="4" w:tplc="04100019" w:tentative="1">
      <w:start w:val="1"/>
      <w:numFmt w:val="lowerLetter"/>
      <w:lvlText w:val="%5."/>
      <w:lvlJc w:val="left"/>
      <w:pPr>
        <w:ind w:left="3855" w:hanging="360"/>
      </w:pPr>
    </w:lvl>
    <w:lvl w:ilvl="5" w:tplc="0410001B" w:tentative="1">
      <w:start w:val="1"/>
      <w:numFmt w:val="lowerRoman"/>
      <w:lvlText w:val="%6."/>
      <w:lvlJc w:val="right"/>
      <w:pPr>
        <w:ind w:left="4575" w:hanging="180"/>
      </w:pPr>
    </w:lvl>
    <w:lvl w:ilvl="6" w:tplc="0410000F" w:tentative="1">
      <w:start w:val="1"/>
      <w:numFmt w:val="decimal"/>
      <w:lvlText w:val="%7."/>
      <w:lvlJc w:val="left"/>
      <w:pPr>
        <w:ind w:left="5295" w:hanging="360"/>
      </w:pPr>
    </w:lvl>
    <w:lvl w:ilvl="7" w:tplc="04100019" w:tentative="1">
      <w:start w:val="1"/>
      <w:numFmt w:val="lowerLetter"/>
      <w:lvlText w:val="%8."/>
      <w:lvlJc w:val="left"/>
      <w:pPr>
        <w:ind w:left="6015" w:hanging="360"/>
      </w:pPr>
    </w:lvl>
    <w:lvl w:ilvl="8" w:tplc="0410001B" w:tentative="1">
      <w:start w:val="1"/>
      <w:numFmt w:val="lowerRoman"/>
      <w:lvlText w:val="%9."/>
      <w:lvlJc w:val="right"/>
      <w:pPr>
        <w:ind w:left="6735" w:hanging="180"/>
      </w:pPr>
    </w:lvl>
  </w:abstractNum>
  <w:abstractNum w:abstractNumId="2" w15:restartNumberingAfterBreak="0">
    <w:nsid w:val="31F94946"/>
    <w:multiLevelType w:val="hybridMultilevel"/>
    <w:tmpl w:val="FB5484AE"/>
    <w:lvl w:ilvl="0" w:tplc="6370347C">
      <w:numFmt w:val="bullet"/>
      <w:lvlText w:val="-"/>
      <w:lvlJc w:val="left"/>
      <w:pPr>
        <w:ind w:left="1271" w:hanging="732"/>
      </w:pPr>
      <w:rPr>
        <w:rFonts w:ascii="Verdana" w:eastAsia="Times New Roman" w:hAnsi="Verdana" w:cs="Times New Roman" w:hint="default"/>
      </w:rPr>
    </w:lvl>
    <w:lvl w:ilvl="1" w:tplc="04100003" w:tentative="1">
      <w:start w:val="1"/>
      <w:numFmt w:val="bullet"/>
      <w:lvlText w:val="o"/>
      <w:lvlJc w:val="left"/>
      <w:pPr>
        <w:ind w:left="1619" w:hanging="360"/>
      </w:pPr>
      <w:rPr>
        <w:rFonts w:ascii="Courier New" w:hAnsi="Courier New" w:cs="Courier New" w:hint="default"/>
      </w:rPr>
    </w:lvl>
    <w:lvl w:ilvl="2" w:tplc="04100005" w:tentative="1">
      <w:start w:val="1"/>
      <w:numFmt w:val="bullet"/>
      <w:lvlText w:val=""/>
      <w:lvlJc w:val="left"/>
      <w:pPr>
        <w:ind w:left="2339" w:hanging="360"/>
      </w:pPr>
      <w:rPr>
        <w:rFonts w:ascii="Wingdings" w:hAnsi="Wingdings" w:hint="default"/>
      </w:rPr>
    </w:lvl>
    <w:lvl w:ilvl="3" w:tplc="04100001" w:tentative="1">
      <w:start w:val="1"/>
      <w:numFmt w:val="bullet"/>
      <w:lvlText w:val=""/>
      <w:lvlJc w:val="left"/>
      <w:pPr>
        <w:ind w:left="3059" w:hanging="360"/>
      </w:pPr>
      <w:rPr>
        <w:rFonts w:ascii="Symbol" w:hAnsi="Symbol" w:hint="default"/>
      </w:rPr>
    </w:lvl>
    <w:lvl w:ilvl="4" w:tplc="04100003" w:tentative="1">
      <w:start w:val="1"/>
      <w:numFmt w:val="bullet"/>
      <w:lvlText w:val="o"/>
      <w:lvlJc w:val="left"/>
      <w:pPr>
        <w:ind w:left="3779" w:hanging="360"/>
      </w:pPr>
      <w:rPr>
        <w:rFonts w:ascii="Courier New" w:hAnsi="Courier New" w:cs="Courier New" w:hint="default"/>
      </w:rPr>
    </w:lvl>
    <w:lvl w:ilvl="5" w:tplc="04100005" w:tentative="1">
      <w:start w:val="1"/>
      <w:numFmt w:val="bullet"/>
      <w:lvlText w:val=""/>
      <w:lvlJc w:val="left"/>
      <w:pPr>
        <w:ind w:left="4499" w:hanging="360"/>
      </w:pPr>
      <w:rPr>
        <w:rFonts w:ascii="Wingdings" w:hAnsi="Wingdings" w:hint="default"/>
      </w:rPr>
    </w:lvl>
    <w:lvl w:ilvl="6" w:tplc="04100001" w:tentative="1">
      <w:start w:val="1"/>
      <w:numFmt w:val="bullet"/>
      <w:lvlText w:val=""/>
      <w:lvlJc w:val="left"/>
      <w:pPr>
        <w:ind w:left="5219" w:hanging="360"/>
      </w:pPr>
      <w:rPr>
        <w:rFonts w:ascii="Symbol" w:hAnsi="Symbol" w:hint="default"/>
      </w:rPr>
    </w:lvl>
    <w:lvl w:ilvl="7" w:tplc="04100003" w:tentative="1">
      <w:start w:val="1"/>
      <w:numFmt w:val="bullet"/>
      <w:lvlText w:val="o"/>
      <w:lvlJc w:val="left"/>
      <w:pPr>
        <w:ind w:left="5939" w:hanging="360"/>
      </w:pPr>
      <w:rPr>
        <w:rFonts w:ascii="Courier New" w:hAnsi="Courier New" w:cs="Courier New" w:hint="default"/>
      </w:rPr>
    </w:lvl>
    <w:lvl w:ilvl="8" w:tplc="04100005" w:tentative="1">
      <w:start w:val="1"/>
      <w:numFmt w:val="bullet"/>
      <w:lvlText w:val=""/>
      <w:lvlJc w:val="left"/>
      <w:pPr>
        <w:ind w:left="6659" w:hanging="360"/>
      </w:pPr>
      <w:rPr>
        <w:rFonts w:ascii="Wingdings" w:hAnsi="Wingdings" w:hint="default"/>
      </w:rPr>
    </w:lvl>
  </w:abstractNum>
  <w:abstractNum w:abstractNumId="3" w15:restartNumberingAfterBreak="0">
    <w:nsid w:val="5FD549C2"/>
    <w:multiLevelType w:val="hybridMultilevel"/>
    <w:tmpl w:val="DA5CBA50"/>
    <w:lvl w:ilvl="0" w:tplc="0410000B">
      <w:start w:val="1"/>
      <w:numFmt w:val="bullet"/>
      <w:lvlText w:val=""/>
      <w:lvlJc w:val="left"/>
      <w:pPr>
        <w:ind w:left="1259" w:hanging="360"/>
      </w:pPr>
      <w:rPr>
        <w:rFonts w:ascii="Wingdings" w:hAnsi="Wingdings" w:hint="default"/>
      </w:rPr>
    </w:lvl>
    <w:lvl w:ilvl="1" w:tplc="04100003" w:tentative="1">
      <w:start w:val="1"/>
      <w:numFmt w:val="bullet"/>
      <w:lvlText w:val="o"/>
      <w:lvlJc w:val="left"/>
      <w:pPr>
        <w:ind w:left="1979" w:hanging="360"/>
      </w:pPr>
      <w:rPr>
        <w:rFonts w:ascii="Courier New" w:hAnsi="Courier New" w:cs="Courier New" w:hint="default"/>
      </w:rPr>
    </w:lvl>
    <w:lvl w:ilvl="2" w:tplc="04100005" w:tentative="1">
      <w:start w:val="1"/>
      <w:numFmt w:val="bullet"/>
      <w:lvlText w:val=""/>
      <w:lvlJc w:val="left"/>
      <w:pPr>
        <w:ind w:left="2699" w:hanging="360"/>
      </w:pPr>
      <w:rPr>
        <w:rFonts w:ascii="Wingdings" w:hAnsi="Wingdings" w:hint="default"/>
      </w:rPr>
    </w:lvl>
    <w:lvl w:ilvl="3" w:tplc="04100001" w:tentative="1">
      <w:start w:val="1"/>
      <w:numFmt w:val="bullet"/>
      <w:lvlText w:val=""/>
      <w:lvlJc w:val="left"/>
      <w:pPr>
        <w:ind w:left="3419" w:hanging="360"/>
      </w:pPr>
      <w:rPr>
        <w:rFonts w:ascii="Symbol" w:hAnsi="Symbol" w:hint="default"/>
      </w:rPr>
    </w:lvl>
    <w:lvl w:ilvl="4" w:tplc="04100003" w:tentative="1">
      <w:start w:val="1"/>
      <w:numFmt w:val="bullet"/>
      <w:lvlText w:val="o"/>
      <w:lvlJc w:val="left"/>
      <w:pPr>
        <w:ind w:left="4139" w:hanging="360"/>
      </w:pPr>
      <w:rPr>
        <w:rFonts w:ascii="Courier New" w:hAnsi="Courier New" w:cs="Courier New" w:hint="default"/>
      </w:rPr>
    </w:lvl>
    <w:lvl w:ilvl="5" w:tplc="04100005" w:tentative="1">
      <w:start w:val="1"/>
      <w:numFmt w:val="bullet"/>
      <w:lvlText w:val=""/>
      <w:lvlJc w:val="left"/>
      <w:pPr>
        <w:ind w:left="4859" w:hanging="360"/>
      </w:pPr>
      <w:rPr>
        <w:rFonts w:ascii="Wingdings" w:hAnsi="Wingdings" w:hint="default"/>
      </w:rPr>
    </w:lvl>
    <w:lvl w:ilvl="6" w:tplc="04100001" w:tentative="1">
      <w:start w:val="1"/>
      <w:numFmt w:val="bullet"/>
      <w:lvlText w:val=""/>
      <w:lvlJc w:val="left"/>
      <w:pPr>
        <w:ind w:left="5579" w:hanging="360"/>
      </w:pPr>
      <w:rPr>
        <w:rFonts w:ascii="Symbol" w:hAnsi="Symbol" w:hint="default"/>
      </w:rPr>
    </w:lvl>
    <w:lvl w:ilvl="7" w:tplc="04100003" w:tentative="1">
      <w:start w:val="1"/>
      <w:numFmt w:val="bullet"/>
      <w:lvlText w:val="o"/>
      <w:lvlJc w:val="left"/>
      <w:pPr>
        <w:ind w:left="6299" w:hanging="360"/>
      </w:pPr>
      <w:rPr>
        <w:rFonts w:ascii="Courier New" w:hAnsi="Courier New" w:cs="Courier New" w:hint="default"/>
      </w:rPr>
    </w:lvl>
    <w:lvl w:ilvl="8" w:tplc="04100005" w:tentative="1">
      <w:start w:val="1"/>
      <w:numFmt w:val="bullet"/>
      <w:lvlText w:val=""/>
      <w:lvlJc w:val="left"/>
      <w:pPr>
        <w:ind w:left="7019" w:hanging="360"/>
      </w:pPr>
      <w:rPr>
        <w:rFonts w:ascii="Wingdings" w:hAnsi="Wingdings" w:hint="default"/>
      </w:rPr>
    </w:lvl>
  </w:abstractNum>
  <w:abstractNum w:abstractNumId="4" w15:restartNumberingAfterBreak="0">
    <w:nsid w:val="6C9302AE"/>
    <w:multiLevelType w:val="hybridMultilevel"/>
    <w:tmpl w:val="DD3A826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770D6FB9"/>
    <w:multiLevelType w:val="hybridMultilevel"/>
    <w:tmpl w:val="2E249930"/>
    <w:lvl w:ilvl="0" w:tplc="04100017">
      <w:start w:val="1"/>
      <w:numFmt w:val="lowerLetter"/>
      <w:lvlText w:val="%1)"/>
      <w:lvlJc w:val="left"/>
      <w:pPr>
        <w:ind w:left="1335" w:hanging="360"/>
      </w:pPr>
    </w:lvl>
    <w:lvl w:ilvl="1" w:tplc="04100019" w:tentative="1">
      <w:start w:val="1"/>
      <w:numFmt w:val="lowerLetter"/>
      <w:lvlText w:val="%2."/>
      <w:lvlJc w:val="left"/>
      <w:pPr>
        <w:ind w:left="2055" w:hanging="360"/>
      </w:pPr>
    </w:lvl>
    <w:lvl w:ilvl="2" w:tplc="0410001B" w:tentative="1">
      <w:start w:val="1"/>
      <w:numFmt w:val="lowerRoman"/>
      <w:lvlText w:val="%3."/>
      <w:lvlJc w:val="right"/>
      <w:pPr>
        <w:ind w:left="2775" w:hanging="180"/>
      </w:pPr>
    </w:lvl>
    <w:lvl w:ilvl="3" w:tplc="0410000F" w:tentative="1">
      <w:start w:val="1"/>
      <w:numFmt w:val="decimal"/>
      <w:lvlText w:val="%4."/>
      <w:lvlJc w:val="left"/>
      <w:pPr>
        <w:ind w:left="3495" w:hanging="360"/>
      </w:pPr>
    </w:lvl>
    <w:lvl w:ilvl="4" w:tplc="04100019" w:tentative="1">
      <w:start w:val="1"/>
      <w:numFmt w:val="lowerLetter"/>
      <w:lvlText w:val="%5."/>
      <w:lvlJc w:val="left"/>
      <w:pPr>
        <w:ind w:left="4215" w:hanging="360"/>
      </w:pPr>
    </w:lvl>
    <w:lvl w:ilvl="5" w:tplc="0410001B" w:tentative="1">
      <w:start w:val="1"/>
      <w:numFmt w:val="lowerRoman"/>
      <w:lvlText w:val="%6."/>
      <w:lvlJc w:val="right"/>
      <w:pPr>
        <w:ind w:left="4935" w:hanging="180"/>
      </w:pPr>
    </w:lvl>
    <w:lvl w:ilvl="6" w:tplc="0410000F" w:tentative="1">
      <w:start w:val="1"/>
      <w:numFmt w:val="decimal"/>
      <w:lvlText w:val="%7."/>
      <w:lvlJc w:val="left"/>
      <w:pPr>
        <w:ind w:left="5655" w:hanging="360"/>
      </w:pPr>
    </w:lvl>
    <w:lvl w:ilvl="7" w:tplc="04100019" w:tentative="1">
      <w:start w:val="1"/>
      <w:numFmt w:val="lowerLetter"/>
      <w:lvlText w:val="%8."/>
      <w:lvlJc w:val="left"/>
      <w:pPr>
        <w:ind w:left="6375" w:hanging="360"/>
      </w:pPr>
    </w:lvl>
    <w:lvl w:ilvl="8" w:tplc="0410001B" w:tentative="1">
      <w:start w:val="1"/>
      <w:numFmt w:val="lowerRoman"/>
      <w:lvlText w:val="%9."/>
      <w:lvlJc w:val="right"/>
      <w:pPr>
        <w:ind w:left="7095" w:hanging="180"/>
      </w:p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BB6"/>
    <w:rsid w:val="00002706"/>
    <w:rsid w:val="00002F4D"/>
    <w:rsid w:val="000061E1"/>
    <w:rsid w:val="00006ECE"/>
    <w:rsid w:val="000074FF"/>
    <w:rsid w:val="00011413"/>
    <w:rsid w:val="00015470"/>
    <w:rsid w:val="00020243"/>
    <w:rsid w:val="000261A4"/>
    <w:rsid w:val="000267AF"/>
    <w:rsid w:val="00033289"/>
    <w:rsid w:val="00040ED3"/>
    <w:rsid w:val="00041F5E"/>
    <w:rsid w:val="00052A7B"/>
    <w:rsid w:val="00055C70"/>
    <w:rsid w:val="000611A6"/>
    <w:rsid w:val="000627B5"/>
    <w:rsid w:val="00062EE9"/>
    <w:rsid w:val="000754EA"/>
    <w:rsid w:val="00076DF6"/>
    <w:rsid w:val="00082EDB"/>
    <w:rsid w:val="0008339C"/>
    <w:rsid w:val="00084324"/>
    <w:rsid w:val="00085346"/>
    <w:rsid w:val="00086D07"/>
    <w:rsid w:val="000A0E08"/>
    <w:rsid w:val="000A176E"/>
    <w:rsid w:val="000B4E16"/>
    <w:rsid w:val="000B5D40"/>
    <w:rsid w:val="000B6B0F"/>
    <w:rsid w:val="000C5A2D"/>
    <w:rsid w:val="000D00DE"/>
    <w:rsid w:val="000D7979"/>
    <w:rsid w:val="000F2D8D"/>
    <w:rsid w:val="000F67A3"/>
    <w:rsid w:val="00110A4E"/>
    <w:rsid w:val="00111B90"/>
    <w:rsid w:val="0011780F"/>
    <w:rsid w:val="00131A6C"/>
    <w:rsid w:val="0013677A"/>
    <w:rsid w:val="00142367"/>
    <w:rsid w:val="00143425"/>
    <w:rsid w:val="001458A4"/>
    <w:rsid w:val="00150A49"/>
    <w:rsid w:val="0015380A"/>
    <w:rsid w:val="00160447"/>
    <w:rsid w:val="00166BA9"/>
    <w:rsid w:val="00170592"/>
    <w:rsid w:val="001762C5"/>
    <w:rsid w:val="00180561"/>
    <w:rsid w:val="00180E0F"/>
    <w:rsid w:val="001A1127"/>
    <w:rsid w:val="001A7B61"/>
    <w:rsid w:val="001A7DE0"/>
    <w:rsid w:val="001B0C98"/>
    <w:rsid w:val="001B3FBB"/>
    <w:rsid w:val="001B4676"/>
    <w:rsid w:val="001B7A74"/>
    <w:rsid w:val="001B7F68"/>
    <w:rsid w:val="001C27D7"/>
    <w:rsid w:val="001F1620"/>
    <w:rsid w:val="001F627A"/>
    <w:rsid w:val="001F6F4A"/>
    <w:rsid w:val="00200524"/>
    <w:rsid w:val="00200C6B"/>
    <w:rsid w:val="0020197E"/>
    <w:rsid w:val="00214D12"/>
    <w:rsid w:val="00223305"/>
    <w:rsid w:val="00235F32"/>
    <w:rsid w:val="002448C7"/>
    <w:rsid w:val="00245E8D"/>
    <w:rsid w:val="00247B23"/>
    <w:rsid w:val="0025141F"/>
    <w:rsid w:val="00253330"/>
    <w:rsid w:val="0025513F"/>
    <w:rsid w:val="00261F4B"/>
    <w:rsid w:val="00263E40"/>
    <w:rsid w:val="00264D49"/>
    <w:rsid w:val="00266603"/>
    <w:rsid w:val="00270CDE"/>
    <w:rsid w:val="00272986"/>
    <w:rsid w:val="002747BE"/>
    <w:rsid w:val="00280100"/>
    <w:rsid w:val="002911DC"/>
    <w:rsid w:val="002934D7"/>
    <w:rsid w:val="00293FE4"/>
    <w:rsid w:val="00296B18"/>
    <w:rsid w:val="002A0187"/>
    <w:rsid w:val="002A5039"/>
    <w:rsid w:val="002B1A1E"/>
    <w:rsid w:val="002B2D26"/>
    <w:rsid w:val="002B2F8B"/>
    <w:rsid w:val="002C0342"/>
    <w:rsid w:val="002C11F0"/>
    <w:rsid w:val="002C1C71"/>
    <w:rsid w:val="002C27CC"/>
    <w:rsid w:val="002C7411"/>
    <w:rsid w:val="002D0D30"/>
    <w:rsid w:val="002D684F"/>
    <w:rsid w:val="002D7BE2"/>
    <w:rsid w:val="002E00BF"/>
    <w:rsid w:val="002E22DC"/>
    <w:rsid w:val="002E376E"/>
    <w:rsid w:val="002E60B7"/>
    <w:rsid w:val="002F5A5F"/>
    <w:rsid w:val="00304ACD"/>
    <w:rsid w:val="00307CFE"/>
    <w:rsid w:val="0031241D"/>
    <w:rsid w:val="003257F5"/>
    <w:rsid w:val="00343E61"/>
    <w:rsid w:val="003507A7"/>
    <w:rsid w:val="003545BD"/>
    <w:rsid w:val="003556FA"/>
    <w:rsid w:val="0036208A"/>
    <w:rsid w:val="0037493A"/>
    <w:rsid w:val="00377FB3"/>
    <w:rsid w:val="00383C73"/>
    <w:rsid w:val="00390A66"/>
    <w:rsid w:val="00392261"/>
    <w:rsid w:val="00394C76"/>
    <w:rsid w:val="00397984"/>
    <w:rsid w:val="003A515E"/>
    <w:rsid w:val="003A52A7"/>
    <w:rsid w:val="003B0317"/>
    <w:rsid w:val="003B0934"/>
    <w:rsid w:val="003B1689"/>
    <w:rsid w:val="003B1F6F"/>
    <w:rsid w:val="003B22E0"/>
    <w:rsid w:val="003C21A0"/>
    <w:rsid w:val="003C55A4"/>
    <w:rsid w:val="003C6520"/>
    <w:rsid w:val="003E5DAD"/>
    <w:rsid w:val="003E7052"/>
    <w:rsid w:val="003E7CBF"/>
    <w:rsid w:val="003F0EF8"/>
    <w:rsid w:val="003F181C"/>
    <w:rsid w:val="003F7075"/>
    <w:rsid w:val="00400F9C"/>
    <w:rsid w:val="00401993"/>
    <w:rsid w:val="004022C7"/>
    <w:rsid w:val="004036DF"/>
    <w:rsid w:val="00405330"/>
    <w:rsid w:val="00406367"/>
    <w:rsid w:val="0041380D"/>
    <w:rsid w:val="00413B55"/>
    <w:rsid w:val="00416DB1"/>
    <w:rsid w:val="00421305"/>
    <w:rsid w:val="00421A55"/>
    <w:rsid w:val="00433F91"/>
    <w:rsid w:val="00444F05"/>
    <w:rsid w:val="0044522C"/>
    <w:rsid w:val="00454793"/>
    <w:rsid w:val="00465CC6"/>
    <w:rsid w:val="00472303"/>
    <w:rsid w:val="00472753"/>
    <w:rsid w:val="0047539B"/>
    <w:rsid w:val="00476EE5"/>
    <w:rsid w:val="004823C3"/>
    <w:rsid w:val="0048330A"/>
    <w:rsid w:val="00487B8F"/>
    <w:rsid w:val="00491CFB"/>
    <w:rsid w:val="00494320"/>
    <w:rsid w:val="004A1610"/>
    <w:rsid w:val="004A3887"/>
    <w:rsid w:val="004A4659"/>
    <w:rsid w:val="004B12C8"/>
    <w:rsid w:val="004B63D9"/>
    <w:rsid w:val="004B65F5"/>
    <w:rsid w:val="004B722F"/>
    <w:rsid w:val="004C1984"/>
    <w:rsid w:val="004C29BC"/>
    <w:rsid w:val="004E4AF3"/>
    <w:rsid w:val="004F66C0"/>
    <w:rsid w:val="00500777"/>
    <w:rsid w:val="005161A3"/>
    <w:rsid w:val="00531215"/>
    <w:rsid w:val="0053236B"/>
    <w:rsid w:val="005351C2"/>
    <w:rsid w:val="00537DBE"/>
    <w:rsid w:val="005401FA"/>
    <w:rsid w:val="00540831"/>
    <w:rsid w:val="00544993"/>
    <w:rsid w:val="00546272"/>
    <w:rsid w:val="00547A99"/>
    <w:rsid w:val="0055123D"/>
    <w:rsid w:val="005513E8"/>
    <w:rsid w:val="005536DB"/>
    <w:rsid w:val="00560FF0"/>
    <w:rsid w:val="0056102A"/>
    <w:rsid w:val="00565453"/>
    <w:rsid w:val="005710E0"/>
    <w:rsid w:val="00576539"/>
    <w:rsid w:val="0057680E"/>
    <w:rsid w:val="00590A28"/>
    <w:rsid w:val="00594666"/>
    <w:rsid w:val="00594B97"/>
    <w:rsid w:val="005A02D7"/>
    <w:rsid w:val="005A45DB"/>
    <w:rsid w:val="005A6C9E"/>
    <w:rsid w:val="005B00FF"/>
    <w:rsid w:val="005C6A3D"/>
    <w:rsid w:val="005D26A6"/>
    <w:rsid w:val="005D2AAB"/>
    <w:rsid w:val="005D4F95"/>
    <w:rsid w:val="005D5790"/>
    <w:rsid w:val="005D6AD6"/>
    <w:rsid w:val="005E313D"/>
    <w:rsid w:val="005E6EFE"/>
    <w:rsid w:val="005F0615"/>
    <w:rsid w:val="005F13FE"/>
    <w:rsid w:val="005F4C56"/>
    <w:rsid w:val="00600659"/>
    <w:rsid w:val="00600CBD"/>
    <w:rsid w:val="006034A1"/>
    <w:rsid w:val="0061090D"/>
    <w:rsid w:val="00611163"/>
    <w:rsid w:val="006147E1"/>
    <w:rsid w:val="006157BD"/>
    <w:rsid w:val="00617329"/>
    <w:rsid w:val="00617810"/>
    <w:rsid w:val="00620967"/>
    <w:rsid w:val="006215EF"/>
    <w:rsid w:val="00623F24"/>
    <w:rsid w:val="0063013D"/>
    <w:rsid w:val="006325FE"/>
    <w:rsid w:val="00635C30"/>
    <w:rsid w:val="006371A2"/>
    <w:rsid w:val="006403AC"/>
    <w:rsid w:val="00640F55"/>
    <w:rsid w:val="00643CB2"/>
    <w:rsid w:val="006454C2"/>
    <w:rsid w:val="00646F25"/>
    <w:rsid w:val="006507F5"/>
    <w:rsid w:val="00653450"/>
    <w:rsid w:val="0065562B"/>
    <w:rsid w:val="00666F11"/>
    <w:rsid w:val="00673BAE"/>
    <w:rsid w:val="00675CE2"/>
    <w:rsid w:val="00684B1A"/>
    <w:rsid w:val="006861C2"/>
    <w:rsid w:val="0069040F"/>
    <w:rsid w:val="00690CB2"/>
    <w:rsid w:val="006A067B"/>
    <w:rsid w:val="006A2ABC"/>
    <w:rsid w:val="006A2BAC"/>
    <w:rsid w:val="006A587E"/>
    <w:rsid w:val="006A59BF"/>
    <w:rsid w:val="006A77E6"/>
    <w:rsid w:val="006B4E19"/>
    <w:rsid w:val="006C07E7"/>
    <w:rsid w:val="006C130E"/>
    <w:rsid w:val="006C7E4D"/>
    <w:rsid w:val="006D6AFF"/>
    <w:rsid w:val="006E1F52"/>
    <w:rsid w:val="006E3925"/>
    <w:rsid w:val="006E5E91"/>
    <w:rsid w:val="006F03F5"/>
    <w:rsid w:val="006F4A2B"/>
    <w:rsid w:val="006F7A08"/>
    <w:rsid w:val="0070148F"/>
    <w:rsid w:val="007019C7"/>
    <w:rsid w:val="00702C59"/>
    <w:rsid w:val="00704B74"/>
    <w:rsid w:val="00706C98"/>
    <w:rsid w:val="0071086B"/>
    <w:rsid w:val="00712FFC"/>
    <w:rsid w:val="007161FB"/>
    <w:rsid w:val="007261C6"/>
    <w:rsid w:val="0072722E"/>
    <w:rsid w:val="00732EA3"/>
    <w:rsid w:val="00740B66"/>
    <w:rsid w:val="00741111"/>
    <w:rsid w:val="007438F2"/>
    <w:rsid w:val="0075007B"/>
    <w:rsid w:val="0075534E"/>
    <w:rsid w:val="007607BC"/>
    <w:rsid w:val="00761788"/>
    <w:rsid w:val="00763C7C"/>
    <w:rsid w:val="00770869"/>
    <w:rsid w:val="00770BA6"/>
    <w:rsid w:val="00794492"/>
    <w:rsid w:val="00794C36"/>
    <w:rsid w:val="0079576D"/>
    <w:rsid w:val="00797EE3"/>
    <w:rsid w:val="007A1DEF"/>
    <w:rsid w:val="007A4485"/>
    <w:rsid w:val="007B104C"/>
    <w:rsid w:val="007B72F0"/>
    <w:rsid w:val="007C1306"/>
    <w:rsid w:val="007C4D7F"/>
    <w:rsid w:val="007D020A"/>
    <w:rsid w:val="007D37EC"/>
    <w:rsid w:val="007D5470"/>
    <w:rsid w:val="007E3C34"/>
    <w:rsid w:val="007E66BC"/>
    <w:rsid w:val="007F3E47"/>
    <w:rsid w:val="00804A30"/>
    <w:rsid w:val="008165E1"/>
    <w:rsid w:val="00817AE4"/>
    <w:rsid w:val="0082215E"/>
    <w:rsid w:val="00822EAD"/>
    <w:rsid w:val="00826F2F"/>
    <w:rsid w:val="00842CC4"/>
    <w:rsid w:val="008448E8"/>
    <w:rsid w:val="00845A36"/>
    <w:rsid w:val="008567EE"/>
    <w:rsid w:val="0086699D"/>
    <w:rsid w:val="00875B29"/>
    <w:rsid w:val="00890D8F"/>
    <w:rsid w:val="00893F5E"/>
    <w:rsid w:val="00897E37"/>
    <w:rsid w:val="008A1384"/>
    <w:rsid w:val="008B2DA9"/>
    <w:rsid w:val="008B6A8F"/>
    <w:rsid w:val="008C02E5"/>
    <w:rsid w:val="008C2543"/>
    <w:rsid w:val="008C7A58"/>
    <w:rsid w:val="008D1AB6"/>
    <w:rsid w:val="008D7AE8"/>
    <w:rsid w:val="008E6AF2"/>
    <w:rsid w:val="008E6E4A"/>
    <w:rsid w:val="008F1394"/>
    <w:rsid w:val="008F4A18"/>
    <w:rsid w:val="008F551E"/>
    <w:rsid w:val="00902784"/>
    <w:rsid w:val="009114B1"/>
    <w:rsid w:val="00912496"/>
    <w:rsid w:val="00917DA8"/>
    <w:rsid w:val="00922E73"/>
    <w:rsid w:val="00935D0C"/>
    <w:rsid w:val="00936FEC"/>
    <w:rsid w:val="00941DAA"/>
    <w:rsid w:val="0094500C"/>
    <w:rsid w:val="00952CE6"/>
    <w:rsid w:val="00952EFA"/>
    <w:rsid w:val="009609B5"/>
    <w:rsid w:val="00965F67"/>
    <w:rsid w:val="00971F13"/>
    <w:rsid w:val="009735AF"/>
    <w:rsid w:val="0097371F"/>
    <w:rsid w:val="00975154"/>
    <w:rsid w:val="009761AC"/>
    <w:rsid w:val="00976BAF"/>
    <w:rsid w:val="0098494C"/>
    <w:rsid w:val="00986AD3"/>
    <w:rsid w:val="00991207"/>
    <w:rsid w:val="009947CF"/>
    <w:rsid w:val="00995972"/>
    <w:rsid w:val="009A6C79"/>
    <w:rsid w:val="009B5D0F"/>
    <w:rsid w:val="009B617A"/>
    <w:rsid w:val="009D004E"/>
    <w:rsid w:val="009D2122"/>
    <w:rsid w:val="009D315C"/>
    <w:rsid w:val="009D6204"/>
    <w:rsid w:val="009D79A0"/>
    <w:rsid w:val="009E1D3C"/>
    <w:rsid w:val="009E6B5E"/>
    <w:rsid w:val="009F01D8"/>
    <w:rsid w:val="009F17A0"/>
    <w:rsid w:val="009F1D92"/>
    <w:rsid w:val="009F36B5"/>
    <w:rsid w:val="009F6C53"/>
    <w:rsid w:val="00A02B96"/>
    <w:rsid w:val="00A07B63"/>
    <w:rsid w:val="00A2623B"/>
    <w:rsid w:val="00A26249"/>
    <w:rsid w:val="00A334BE"/>
    <w:rsid w:val="00A43E35"/>
    <w:rsid w:val="00A44208"/>
    <w:rsid w:val="00A51584"/>
    <w:rsid w:val="00A521EB"/>
    <w:rsid w:val="00A61312"/>
    <w:rsid w:val="00A61ED9"/>
    <w:rsid w:val="00A71220"/>
    <w:rsid w:val="00A723FF"/>
    <w:rsid w:val="00A84756"/>
    <w:rsid w:val="00A86046"/>
    <w:rsid w:val="00A90B79"/>
    <w:rsid w:val="00AA03CF"/>
    <w:rsid w:val="00AC0FDE"/>
    <w:rsid w:val="00AC3045"/>
    <w:rsid w:val="00AE34C0"/>
    <w:rsid w:val="00AE4F22"/>
    <w:rsid w:val="00AF6F85"/>
    <w:rsid w:val="00B03B10"/>
    <w:rsid w:val="00B06DA1"/>
    <w:rsid w:val="00B07973"/>
    <w:rsid w:val="00B17094"/>
    <w:rsid w:val="00B17BC9"/>
    <w:rsid w:val="00B213BF"/>
    <w:rsid w:val="00B217C0"/>
    <w:rsid w:val="00B2265B"/>
    <w:rsid w:val="00B234A2"/>
    <w:rsid w:val="00B23A00"/>
    <w:rsid w:val="00B41C66"/>
    <w:rsid w:val="00B44F2C"/>
    <w:rsid w:val="00B52064"/>
    <w:rsid w:val="00B54061"/>
    <w:rsid w:val="00B635C0"/>
    <w:rsid w:val="00B65179"/>
    <w:rsid w:val="00B6611A"/>
    <w:rsid w:val="00B718F4"/>
    <w:rsid w:val="00B724B2"/>
    <w:rsid w:val="00B74467"/>
    <w:rsid w:val="00B80C92"/>
    <w:rsid w:val="00B87DE4"/>
    <w:rsid w:val="00B9525F"/>
    <w:rsid w:val="00BA0CF2"/>
    <w:rsid w:val="00BA758A"/>
    <w:rsid w:val="00BA7D5D"/>
    <w:rsid w:val="00BB5D1A"/>
    <w:rsid w:val="00BC5264"/>
    <w:rsid w:val="00BD3AE8"/>
    <w:rsid w:val="00BE0287"/>
    <w:rsid w:val="00BE3480"/>
    <w:rsid w:val="00BE59CE"/>
    <w:rsid w:val="00BF0349"/>
    <w:rsid w:val="00BF0406"/>
    <w:rsid w:val="00BF623A"/>
    <w:rsid w:val="00C0412E"/>
    <w:rsid w:val="00C1526E"/>
    <w:rsid w:val="00C17541"/>
    <w:rsid w:val="00C23238"/>
    <w:rsid w:val="00C31C1B"/>
    <w:rsid w:val="00C34036"/>
    <w:rsid w:val="00C34584"/>
    <w:rsid w:val="00C346DE"/>
    <w:rsid w:val="00C40ECE"/>
    <w:rsid w:val="00C41299"/>
    <w:rsid w:val="00C42317"/>
    <w:rsid w:val="00C54370"/>
    <w:rsid w:val="00C56CFF"/>
    <w:rsid w:val="00C57739"/>
    <w:rsid w:val="00C63425"/>
    <w:rsid w:val="00C64BB6"/>
    <w:rsid w:val="00C65AB4"/>
    <w:rsid w:val="00C706F9"/>
    <w:rsid w:val="00C713FB"/>
    <w:rsid w:val="00C728DC"/>
    <w:rsid w:val="00C7498A"/>
    <w:rsid w:val="00C77509"/>
    <w:rsid w:val="00C800DD"/>
    <w:rsid w:val="00C82FEC"/>
    <w:rsid w:val="00CA1218"/>
    <w:rsid w:val="00CB45B0"/>
    <w:rsid w:val="00CB7D8D"/>
    <w:rsid w:val="00CC1F8E"/>
    <w:rsid w:val="00CC51C6"/>
    <w:rsid w:val="00CD64BF"/>
    <w:rsid w:val="00CE2B64"/>
    <w:rsid w:val="00CF244D"/>
    <w:rsid w:val="00CF3A61"/>
    <w:rsid w:val="00CF4200"/>
    <w:rsid w:val="00D026C8"/>
    <w:rsid w:val="00D1134D"/>
    <w:rsid w:val="00D1370A"/>
    <w:rsid w:val="00D13C03"/>
    <w:rsid w:val="00D16491"/>
    <w:rsid w:val="00D17D34"/>
    <w:rsid w:val="00D21A19"/>
    <w:rsid w:val="00D253A0"/>
    <w:rsid w:val="00D378E1"/>
    <w:rsid w:val="00D37D30"/>
    <w:rsid w:val="00D40824"/>
    <w:rsid w:val="00D41FE7"/>
    <w:rsid w:val="00D469AB"/>
    <w:rsid w:val="00D50638"/>
    <w:rsid w:val="00D52AEA"/>
    <w:rsid w:val="00D53253"/>
    <w:rsid w:val="00D54D87"/>
    <w:rsid w:val="00D5796A"/>
    <w:rsid w:val="00D715F6"/>
    <w:rsid w:val="00D77BBA"/>
    <w:rsid w:val="00D8021A"/>
    <w:rsid w:val="00D82620"/>
    <w:rsid w:val="00D831E7"/>
    <w:rsid w:val="00D84F6F"/>
    <w:rsid w:val="00D86CB2"/>
    <w:rsid w:val="00D8766C"/>
    <w:rsid w:val="00D931BC"/>
    <w:rsid w:val="00DA087E"/>
    <w:rsid w:val="00DA6A4C"/>
    <w:rsid w:val="00DB004D"/>
    <w:rsid w:val="00DB29BF"/>
    <w:rsid w:val="00DB32A4"/>
    <w:rsid w:val="00DB3D6A"/>
    <w:rsid w:val="00DB4934"/>
    <w:rsid w:val="00DC7ED0"/>
    <w:rsid w:val="00DE5B19"/>
    <w:rsid w:val="00DE688A"/>
    <w:rsid w:val="00DF7CAB"/>
    <w:rsid w:val="00E00556"/>
    <w:rsid w:val="00E00BD9"/>
    <w:rsid w:val="00E146BA"/>
    <w:rsid w:val="00E25C78"/>
    <w:rsid w:val="00E265F9"/>
    <w:rsid w:val="00E400D0"/>
    <w:rsid w:val="00E40512"/>
    <w:rsid w:val="00E408E6"/>
    <w:rsid w:val="00E50294"/>
    <w:rsid w:val="00E52D46"/>
    <w:rsid w:val="00E5513F"/>
    <w:rsid w:val="00E62078"/>
    <w:rsid w:val="00E6683C"/>
    <w:rsid w:val="00E671A1"/>
    <w:rsid w:val="00E70039"/>
    <w:rsid w:val="00E8083F"/>
    <w:rsid w:val="00E82365"/>
    <w:rsid w:val="00E82B01"/>
    <w:rsid w:val="00E92C26"/>
    <w:rsid w:val="00E94FD1"/>
    <w:rsid w:val="00EB1EF5"/>
    <w:rsid w:val="00EB3D25"/>
    <w:rsid w:val="00EC012F"/>
    <w:rsid w:val="00EC2352"/>
    <w:rsid w:val="00ED1A7F"/>
    <w:rsid w:val="00ED5B93"/>
    <w:rsid w:val="00ED5C2F"/>
    <w:rsid w:val="00EE4957"/>
    <w:rsid w:val="00EE4DC3"/>
    <w:rsid w:val="00EE51B4"/>
    <w:rsid w:val="00EF1A67"/>
    <w:rsid w:val="00EF36A9"/>
    <w:rsid w:val="00F06B09"/>
    <w:rsid w:val="00F11863"/>
    <w:rsid w:val="00F13C78"/>
    <w:rsid w:val="00F15560"/>
    <w:rsid w:val="00F17005"/>
    <w:rsid w:val="00F25414"/>
    <w:rsid w:val="00F30EC0"/>
    <w:rsid w:val="00F32C04"/>
    <w:rsid w:val="00F44E4E"/>
    <w:rsid w:val="00F45240"/>
    <w:rsid w:val="00F50B55"/>
    <w:rsid w:val="00F54EAE"/>
    <w:rsid w:val="00F6093C"/>
    <w:rsid w:val="00F6350F"/>
    <w:rsid w:val="00F70B58"/>
    <w:rsid w:val="00F75A66"/>
    <w:rsid w:val="00F81FD5"/>
    <w:rsid w:val="00F82B18"/>
    <w:rsid w:val="00F84608"/>
    <w:rsid w:val="00F93C73"/>
    <w:rsid w:val="00F956FB"/>
    <w:rsid w:val="00F973E5"/>
    <w:rsid w:val="00F97651"/>
    <w:rsid w:val="00F97826"/>
    <w:rsid w:val="00F97F4A"/>
    <w:rsid w:val="00FA087E"/>
    <w:rsid w:val="00FA0DDE"/>
    <w:rsid w:val="00FA3B5B"/>
    <w:rsid w:val="00FA6315"/>
    <w:rsid w:val="00FB0F61"/>
    <w:rsid w:val="00FC0F2F"/>
    <w:rsid w:val="00FE0C6D"/>
    <w:rsid w:val="00FE2232"/>
    <w:rsid w:val="00FF40F7"/>
    <w:rsid w:val="00FF51A2"/>
    <w:rsid w:val="00FF7A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martTagType w:namespaceuri="urn:schemas-microsoft-com:office:smarttags" w:name="date"/>
  <w:shapeDefaults>
    <o:shapedefaults v:ext="edit" spidmax="2049"/>
    <o:shapelayout v:ext="edit">
      <o:idmap v:ext="edit" data="1"/>
    </o:shapelayout>
  </w:shapeDefaults>
  <w:decimalSymbol w:val=","/>
  <w:listSeparator w:val=";"/>
  <w15:docId w15:val="{2C2B1376-0768-4B84-8E90-7D22474B1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64BB6"/>
    <w:pPr>
      <w:spacing w:after="200" w:line="276" w:lineRule="auto"/>
    </w:pPr>
    <w:rPr>
      <w:rFonts w:ascii="Calibri" w:hAnsi="Calibr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C64BB6"/>
    <w:pPr>
      <w:overflowPunct w:val="0"/>
      <w:autoSpaceDE w:val="0"/>
      <w:autoSpaceDN w:val="0"/>
      <w:adjustRightInd w:val="0"/>
      <w:spacing w:before="240" w:after="60" w:line="240" w:lineRule="auto"/>
      <w:ind w:left="567" w:hanging="567"/>
      <w:jc w:val="center"/>
      <w:textAlignment w:val="baseline"/>
    </w:pPr>
    <w:rPr>
      <w:rFonts w:ascii="Arial" w:hAnsi="Arial"/>
      <w:b/>
      <w:color w:val="000000"/>
      <w:kern w:val="28"/>
      <w:sz w:val="24"/>
      <w:szCs w:val="20"/>
    </w:rPr>
  </w:style>
  <w:style w:type="character" w:customStyle="1" w:styleId="TitoloCarattere">
    <w:name w:val="Titolo Carattere"/>
    <w:link w:val="Titolo"/>
    <w:locked/>
    <w:rsid w:val="00C64BB6"/>
    <w:rPr>
      <w:rFonts w:ascii="Arial" w:hAnsi="Arial"/>
      <w:b/>
      <w:color w:val="000000"/>
      <w:kern w:val="28"/>
      <w:sz w:val="24"/>
      <w:lang w:val="it-IT" w:eastAsia="it-IT" w:bidi="ar-SA"/>
    </w:rPr>
  </w:style>
  <w:style w:type="paragraph" w:styleId="Corpotesto">
    <w:name w:val="Body Text"/>
    <w:basedOn w:val="Normale"/>
    <w:link w:val="CorpotestoCarattere"/>
    <w:rsid w:val="00C64BB6"/>
    <w:pPr>
      <w:spacing w:after="0" w:line="567" w:lineRule="exact"/>
      <w:jc w:val="both"/>
    </w:pPr>
    <w:rPr>
      <w:rFonts w:ascii="Arial" w:hAnsi="Arial"/>
      <w:sz w:val="24"/>
      <w:szCs w:val="20"/>
    </w:rPr>
  </w:style>
  <w:style w:type="character" w:customStyle="1" w:styleId="CorpotestoCarattere">
    <w:name w:val="Corpo testo Carattere"/>
    <w:link w:val="Corpotesto"/>
    <w:locked/>
    <w:rsid w:val="00C64BB6"/>
    <w:rPr>
      <w:rFonts w:ascii="Arial" w:hAnsi="Arial"/>
      <w:sz w:val="24"/>
      <w:lang w:val="it-IT" w:eastAsia="it-IT" w:bidi="ar-SA"/>
    </w:rPr>
  </w:style>
  <w:style w:type="paragraph" w:styleId="Sottotitolo">
    <w:name w:val="Subtitle"/>
    <w:basedOn w:val="Normale"/>
    <w:link w:val="SottotitoloCarattere"/>
    <w:qFormat/>
    <w:rsid w:val="00C64BB6"/>
    <w:pPr>
      <w:spacing w:after="0" w:line="240" w:lineRule="auto"/>
      <w:jc w:val="center"/>
    </w:pPr>
    <w:rPr>
      <w:rFonts w:ascii="Times New Roman" w:hAnsi="Times New Roman"/>
      <w:b/>
      <w:i/>
      <w:sz w:val="28"/>
      <w:szCs w:val="20"/>
    </w:rPr>
  </w:style>
  <w:style w:type="character" w:customStyle="1" w:styleId="SottotitoloCarattere">
    <w:name w:val="Sottotitolo Carattere"/>
    <w:link w:val="Sottotitolo"/>
    <w:locked/>
    <w:rsid w:val="00C64BB6"/>
    <w:rPr>
      <w:b/>
      <w:i/>
      <w:sz w:val="28"/>
      <w:lang w:val="it-IT" w:eastAsia="it-IT" w:bidi="ar-SA"/>
    </w:rPr>
  </w:style>
  <w:style w:type="paragraph" w:customStyle="1" w:styleId="Corpodeltesto21">
    <w:name w:val="Corpo del testo 21"/>
    <w:basedOn w:val="Normale"/>
    <w:rsid w:val="00C64BB6"/>
    <w:pPr>
      <w:spacing w:after="0" w:line="566" w:lineRule="exact"/>
      <w:ind w:left="142" w:firstLine="567"/>
      <w:jc w:val="both"/>
    </w:pPr>
    <w:rPr>
      <w:rFonts w:ascii="Times New Roman" w:hAnsi="Times New Roman"/>
      <w:sz w:val="24"/>
      <w:szCs w:val="20"/>
    </w:rPr>
  </w:style>
  <w:style w:type="paragraph" w:customStyle="1" w:styleId="Corpodeltesto22">
    <w:name w:val="Corpo del testo 22"/>
    <w:basedOn w:val="Normale"/>
    <w:rsid w:val="00C64BB6"/>
    <w:pPr>
      <w:spacing w:after="0" w:line="566" w:lineRule="exact"/>
      <w:ind w:left="142" w:firstLine="567"/>
      <w:jc w:val="both"/>
    </w:pPr>
    <w:rPr>
      <w:rFonts w:ascii="Times New Roman" w:hAnsi="Times New Roman"/>
      <w:sz w:val="24"/>
      <w:szCs w:val="20"/>
    </w:rPr>
  </w:style>
  <w:style w:type="paragraph" w:styleId="Rientrocorpodeltesto">
    <w:name w:val="Body Text Indent"/>
    <w:basedOn w:val="Normale"/>
    <w:rsid w:val="00D13C03"/>
    <w:pPr>
      <w:spacing w:after="120"/>
      <w:ind w:left="283"/>
    </w:pPr>
  </w:style>
  <w:style w:type="paragraph" w:styleId="Intestazione">
    <w:name w:val="header"/>
    <w:basedOn w:val="Normale"/>
    <w:rsid w:val="006034A1"/>
    <w:pPr>
      <w:tabs>
        <w:tab w:val="center" w:pos="4819"/>
        <w:tab w:val="right" w:pos="9638"/>
      </w:tabs>
    </w:pPr>
  </w:style>
  <w:style w:type="character" w:styleId="Numeropagina">
    <w:name w:val="page number"/>
    <w:basedOn w:val="Carpredefinitoparagrafo"/>
    <w:rsid w:val="006034A1"/>
  </w:style>
  <w:style w:type="paragraph" w:styleId="Pidipagina">
    <w:name w:val="footer"/>
    <w:basedOn w:val="Normale"/>
    <w:rsid w:val="00D84F6F"/>
    <w:pPr>
      <w:tabs>
        <w:tab w:val="center" w:pos="4819"/>
        <w:tab w:val="right" w:pos="9638"/>
      </w:tabs>
    </w:pPr>
  </w:style>
  <w:style w:type="character" w:customStyle="1" w:styleId="CarattereCarattere">
    <w:name w:val="Carattere Carattere"/>
    <w:locked/>
    <w:rsid w:val="00444F05"/>
    <w:rPr>
      <w:rFonts w:ascii="Arial" w:hAnsi="Arial"/>
      <w:sz w:val="24"/>
      <w:lang w:val="it-IT" w:eastAsia="it-IT" w:bidi="ar-SA"/>
    </w:rPr>
  </w:style>
  <w:style w:type="paragraph" w:styleId="Testofumetto">
    <w:name w:val="Balloon Text"/>
    <w:basedOn w:val="Normale"/>
    <w:link w:val="TestofumettoCarattere"/>
    <w:rsid w:val="00F82B18"/>
    <w:pPr>
      <w:spacing w:after="0" w:line="240" w:lineRule="auto"/>
    </w:pPr>
    <w:rPr>
      <w:rFonts w:ascii="Tahoma" w:hAnsi="Tahoma"/>
      <w:sz w:val="16"/>
      <w:szCs w:val="16"/>
    </w:rPr>
  </w:style>
  <w:style w:type="character" w:customStyle="1" w:styleId="TestofumettoCarattere">
    <w:name w:val="Testo fumetto Carattere"/>
    <w:link w:val="Testofumetto"/>
    <w:rsid w:val="00F82B18"/>
    <w:rPr>
      <w:rFonts w:ascii="Tahoma" w:hAnsi="Tahoma" w:cs="Tahoma"/>
      <w:sz w:val="16"/>
      <w:szCs w:val="16"/>
    </w:rPr>
  </w:style>
  <w:style w:type="paragraph" w:customStyle="1" w:styleId="Testodelblocco1">
    <w:name w:val="Testo del blocco1"/>
    <w:basedOn w:val="Normale"/>
    <w:rsid w:val="005D6AD6"/>
    <w:pPr>
      <w:widowControl w:val="0"/>
      <w:suppressAutoHyphens/>
      <w:spacing w:after="0" w:line="480" w:lineRule="auto"/>
      <w:ind w:left="851" w:right="851" w:firstLine="709"/>
      <w:jc w:val="both"/>
    </w:pPr>
    <w:rPr>
      <w:rFonts w:ascii="Times New Roman" w:eastAsia="Lucida Sans Unicode" w:hAnsi="Times New Roman"/>
      <w:kern w:val="2"/>
      <w:sz w:val="24"/>
      <w:szCs w:val="24"/>
      <w:lang w:eastAsia="ar-SA"/>
    </w:rPr>
  </w:style>
  <w:style w:type="paragraph" w:customStyle="1" w:styleId="NormaleVerdana">
    <w:name w:val="Normale + Verdana"/>
    <w:aliases w:val="10 pt,Nero,Giustificato,Sinistro:  1,5 cm,Prima riga: ...,Grassetto,Prima riga:  0,95 cm,Interlinea dopp..."/>
    <w:basedOn w:val="Normale"/>
    <w:rsid w:val="005D6AD6"/>
    <w:pPr>
      <w:spacing w:after="0" w:line="240" w:lineRule="auto"/>
      <w:ind w:left="851" w:right="851" w:firstLine="709"/>
      <w:jc w:val="both"/>
    </w:pPr>
    <w:rPr>
      <w:rFonts w:ascii="Palatino Linotype" w:hAnsi="Palatino Linotype"/>
      <w:color w:val="000000"/>
      <w:sz w:val="24"/>
      <w:szCs w:val="24"/>
    </w:rPr>
  </w:style>
  <w:style w:type="table" w:styleId="Grigliatabella">
    <w:name w:val="Table Grid"/>
    <w:basedOn w:val="Tabellanormale"/>
    <w:rsid w:val="001A7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E671A1"/>
    <w:rPr>
      <w:color w:val="0000FF"/>
      <w:u w:val="single"/>
    </w:rPr>
  </w:style>
  <w:style w:type="paragraph" w:customStyle="1" w:styleId="Rientrocorpodeltesto21">
    <w:name w:val="Rientro corpo del testo 21"/>
    <w:basedOn w:val="Normale"/>
    <w:rsid w:val="00E94FD1"/>
    <w:pPr>
      <w:suppressAutoHyphens/>
      <w:spacing w:after="0" w:line="360" w:lineRule="auto"/>
      <w:ind w:firstLine="708"/>
      <w:jc w:val="both"/>
    </w:pPr>
    <w:rPr>
      <w:rFonts w:ascii="Verdana" w:hAnsi="Verdana"/>
      <w:sz w:val="20"/>
      <w:szCs w:val="24"/>
      <w:lang w:eastAsia="ar-SA"/>
    </w:rPr>
  </w:style>
  <w:style w:type="paragraph" w:styleId="Rientrocorpodeltesto2">
    <w:name w:val="Body Text Indent 2"/>
    <w:basedOn w:val="Normale"/>
    <w:link w:val="Rientrocorpodeltesto2Carattere"/>
    <w:rsid w:val="004036DF"/>
    <w:pPr>
      <w:spacing w:after="120" w:line="480" w:lineRule="auto"/>
      <w:ind w:left="283"/>
    </w:pPr>
    <w:rPr>
      <w:rFonts w:ascii="Arial" w:hAnsi="Arial"/>
      <w:sz w:val="24"/>
      <w:szCs w:val="20"/>
    </w:rPr>
  </w:style>
  <w:style w:type="character" w:customStyle="1" w:styleId="Rientrocorpodeltesto2Carattere">
    <w:name w:val="Rientro corpo del testo 2 Carattere"/>
    <w:link w:val="Rientrocorpodeltesto2"/>
    <w:rsid w:val="004036D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858720">
      <w:bodyDiv w:val="1"/>
      <w:marLeft w:val="0"/>
      <w:marRight w:val="0"/>
      <w:marTop w:val="0"/>
      <w:marBottom w:val="0"/>
      <w:divBdr>
        <w:top w:val="none" w:sz="0" w:space="0" w:color="auto"/>
        <w:left w:val="none" w:sz="0" w:space="0" w:color="auto"/>
        <w:bottom w:val="none" w:sz="0" w:space="0" w:color="auto"/>
        <w:right w:val="none" w:sz="0" w:space="0" w:color="auto"/>
      </w:divBdr>
    </w:div>
    <w:div w:id="851839574">
      <w:bodyDiv w:val="1"/>
      <w:marLeft w:val="0"/>
      <w:marRight w:val="0"/>
      <w:marTop w:val="0"/>
      <w:marBottom w:val="0"/>
      <w:divBdr>
        <w:top w:val="none" w:sz="0" w:space="0" w:color="auto"/>
        <w:left w:val="none" w:sz="0" w:space="0" w:color="auto"/>
        <w:bottom w:val="none" w:sz="0" w:space="0" w:color="auto"/>
        <w:right w:val="none" w:sz="0" w:space="0" w:color="auto"/>
      </w:divBdr>
    </w:div>
    <w:div w:id="932519066">
      <w:bodyDiv w:val="1"/>
      <w:marLeft w:val="0"/>
      <w:marRight w:val="0"/>
      <w:marTop w:val="0"/>
      <w:marBottom w:val="0"/>
      <w:divBdr>
        <w:top w:val="none" w:sz="0" w:space="0" w:color="auto"/>
        <w:left w:val="none" w:sz="0" w:space="0" w:color="auto"/>
        <w:bottom w:val="none" w:sz="0" w:space="0" w:color="auto"/>
        <w:right w:val="none" w:sz="0" w:space="0" w:color="auto"/>
      </w:divBdr>
      <w:divsChild>
        <w:div w:id="409616203">
          <w:marLeft w:val="0"/>
          <w:marRight w:val="0"/>
          <w:marTop w:val="100"/>
          <w:marBottom w:val="100"/>
          <w:divBdr>
            <w:top w:val="none" w:sz="0" w:space="0" w:color="auto"/>
            <w:left w:val="none" w:sz="0" w:space="0" w:color="auto"/>
            <w:bottom w:val="none" w:sz="0" w:space="0" w:color="auto"/>
            <w:right w:val="none" w:sz="0" w:space="0" w:color="auto"/>
          </w:divBdr>
          <w:divsChild>
            <w:div w:id="1483932319">
              <w:marLeft w:val="0"/>
              <w:marRight w:val="0"/>
              <w:marTop w:val="0"/>
              <w:marBottom w:val="0"/>
              <w:divBdr>
                <w:top w:val="none" w:sz="0" w:space="0" w:color="auto"/>
                <w:left w:val="none" w:sz="0" w:space="0" w:color="auto"/>
                <w:bottom w:val="none" w:sz="0" w:space="0" w:color="auto"/>
                <w:right w:val="none" w:sz="0" w:space="0" w:color="auto"/>
              </w:divBdr>
              <w:divsChild>
                <w:div w:id="697656082">
                  <w:marLeft w:val="0"/>
                  <w:marRight w:val="0"/>
                  <w:marTop w:val="0"/>
                  <w:marBottom w:val="0"/>
                  <w:divBdr>
                    <w:top w:val="none" w:sz="0" w:space="0" w:color="auto"/>
                    <w:left w:val="none" w:sz="0" w:space="0" w:color="auto"/>
                    <w:bottom w:val="none" w:sz="0" w:space="0" w:color="auto"/>
                    <w:right w:val="none" w:sz="0" w:space="0" w:color="auto"/>
                  </w:divBdr>
                  <w:divsChild>
                    <w:div w:id="1852719730">
                      <w:marLeft w:val="480"/>
                      <w:marRight w:val="480"/>
                      <w:marTop w:val="0"/>
                      <w:marBottom w:val="0"/>
                      <w:divBdr>
                        <w:top w:val="none" w:sz="0" w:space="0" w:color="auto"/>
                        <w:left w:val="none" w:sz="0" w:space="0" w:color="auto"/>
                        <w:bottom w:val="none" w:sz="0" w:space="0" w:color="auto"/>
                        <w:right w:val="none" w:sz="0" w:space="0" w:color="auto"/>
                      </w:divBdr>
                      <w:divsChild>
                        <w:div w:id="111827687">
                          <w:marLeft w:val="0"/>
                          <w:marRight w:val="0"/>
                          <w:marTop w:val="0"/>
                          <w:marBottom w:val="0"/>
                          <w:divBdr>
                            <w:top w:val="single" w:sz="24" w:space="8" w:color="95C11F"/>
                            <w:left w:val="none" w:sz="0" w:space="0" w:color="auto"/>
                            <w:bottom w:val="none" w:sz="0" w:space="0" w:color="auto"/>
                            <w:right w:val="none" w:sz="0" w:space="0" w:color="auto"/>
                          </w:divBdr>
                          <w:divsChild>
                            <w:div w:id="663245703">
                              <w:marLeft w:val="0"/>
                              <w:marRight w:val="0"/>
                              <w:marTop w:val="0"/>
                              <w:marBottom w:val="0"/>
                              <w:divBdr>
                                <w:top w:val="none" w:sz="0" w:space="0" w:color="auto"/>
                                <w:left w:val="none" w:sz="0" w:space="0" w:color="auto"/>
                                <w:bottom w:val="none" w:sz="0" w:space="0" w:color="auto"/>
                                <w:right w:val="none" w:sz="0" w:space="0" w:color="auto"/>
                              </w:divBdr>
                              <w:divsChild>
                                <w:div w:id="2028410189">
                                  <w:marLeft w:val="0"/>
                                  <w:marRight w:val="0"/>
                                  <w:marTop w:val="0"/>
                                  <w:marBottom w:val="0"/>
                                  <w:divBdr>
                                    <w:top w:val="none" w:sz="0" w:space="0" w:color="auto"/>
                                    <w:left w:val="none" w:sz="0" w:space="0" w:color="auto"/>
                                    <w:bottom w:val="none" w:sz="0" w:space="0" w:color="auto"/>
                                    <w:right w:val="none" w:sz="0" w:space="0" w:color="auto"/>
                                  </w:divBdr>
                                  <w:divsChild>
                                    <w:div w:id="51781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849345">
      <w:bodyDiv w:val="1"/>
      <w:marLeft w:val="0"/>
      <w:marRight w:val="0"/>
      <w:marTop w:val="0"/>
      <w:marBottom w:val="0"/>
      <w:divBdr>
        <w:top w:val="none" w:sz="0" w:space="0" w:color="auto"/>
        <w:left w:val="none" w:sz="0" w:space="0" w:color="auto"/>
        <w:bottom w:val="none" w:sz="0" w:space="0" w:color="auto"/>
        <w:right w:val="none" w:sz="0" w:space="0" w:color="auto"/>
      </w:divBdr>
    </w:div>
    <w:div w:id="1068455399">
      <w:bodyDiv w:val="1"/>
      <w:marLeft w:val="0"/>
      <w:marRight w:val="0"/>
      <w:marTop w:val="0"/>
      <w:marBottom w:val="0"/>
      <w:divBdr>
        <w:top w:val="none" w:sz="0" w:space="0" w:color="auto"/>
        <w:left w:val="none" w:sz="0" w:space="0" w:color="auto"/>
        <w:bottom w:val="none" w:sz="0" w:space="0" w:color="auto"/>
        <w:right w:val="none" w:sz="0" w:space="0" w:color="auto"/>
      </w:divBdr>
    </w:div>
    <w:div w:id="1172258244">
      <w:bodyDiv w:val="1"/>
      <w:marLeft w:val="0"/>
      <w:marRight w:val="0"/>
      <w:marTop w:val="0"/>
      <w:marBottom w:val="0"/>
      <w:divBdr>
        <w:top w:val="none" w:sz="0" w:space="0" w:color="auto"/>
        <w:left w:val="none" w:sz="0" w:space="0" w:color="auto"/>
        <w:bottom w:val="none" w:sz="0" w:space="0" w:color="auto"/>
        <w:right w:val="none" w:sz="0" w:space="0" w:color="auto"/>
      </w:divBdr>
    </w:div>
    <w:div w:id="1315455801">
      <w:bodyDiv w:val="1"/>
      <w:marLeft w:val="0"/>
      <w:marRight w:val="0"/>
      <w:marTop w:val="0"/>
      <w:marBottom w:val="0"/>
      <w:divBdr>
        <w:top w:val="none" w:sz="0" w:space="0" w:color="auto"/>
        <w:left w:val="none" w:sz="0" w:space="0" w:color="auto"/>
        <w:bottom w:val="none" w:sz="0" w:space="0" w:color="auto"/>
        <w:right w:val="none" w:sz="0" w:space="0" w:color="auto"/>
      </w:divBdr>
    </w:div>
    <w:div w:id="1390110325">
      <w:bodyDiv w:val="1"/>
      <w:marLeft w:val="0"/>
      <w:marRight w:val="0"/>
      <w:marTop w:val="0"/>
      <w:marBottom w:val="0"/>
      <w:divBdr>
        <w:top w:val="none" w:sz="0" w:space="0" w:color="auto"/>
        <w:left w:val="none" w:sz="0" w:space="0" w:color="auto"/>
        <w:bottom w:val="none" w:sz="0" w:space="0" w:color="auto"/>
        <w:right w:val="none" w:sz="0" w:space="0" w:color="auto"/>
      </w:divBdr>
    </w:div>
    <w:div w:id="1445270056">
      <w:bodyDiv w:val="1"/>
      <w:marLeft w:val="0"/>
      <w:marRight w:val="0"/>
      <w:marTop w:val="0"/>
      <w:marBottom w:val="0"/>
      <w:divBdr>
        <w:top w:val="none" w:sz="0" w:space="0" w:color="auto"/>
        <w:left w:val="none" w:sz="0" w:space="0" w:color="auto"/>
        <w:bottom w:val="none" w:sz="0" w:space="0" w:color="auto"/>
        <w:right w:val="none" w:sz="0" w:space="0" w:color="auto"/>
      </w:divBdr>
    </w:div>
    <w:div w:id="193712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pa.leggiditalia.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B466A4902370547B02877C0D4A2ACFE" ma:contentTypeVersion="0" ma:contentTypeDescription="Creare un nuovo documento." ma:contentTypeScope="" ma:versionID="899508e1dfc2907c4398b1b3d324cd29">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4D45B-4223-4807-A115-DD3842B5F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175F9D-A680-46AB-B0C2-BDB33F8E9332}">
  <ds:schemaRefs>
    <ds:schemaRef ds:uri="http://schemas.microsoft.com/sharepoint/v3/contenttype/forms"/>
  </ds:schemaRefs>
</ds:datastoreItem>
</file>

<file path=customXml/itemProps3.xml><?xml version="1.0" encoding="utf-8"?>
<ds:datastoreItem xmlns:ds="http://schemas.openxmlformats.org/officeDocument/2006/customXml" ds:itemID="{0AB1C030-0160-4E76-A9C8-677FD1FCC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2851</Words>
  <Characters>16256</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Italiana                Del</vt:lpstr>
    </vt:vector>
  </TitlesOfParts>
  <Company>Corte dei conti</Company>
  <LinksUpToDate>false</LinksUpToDate>
  <CharactersWithSpaces>19069</CharactersWithSpaces>
  <SharedDoc>false</SharedDoc>
  <HLinks>
    <vt:vector size="6" baseType="variant">
      <vt:variant>
        <vt:i4>7929955</vt:i4>
      </vt:variant>
      <vt:variant>
        <vt:i4>0</vt:i4>
      </vt:variant>
      <vt:variant>
        <vt:i4>0</vt:i4>
      </vt:variant>
      <vt:variant>
        <vt:i4>5</vt:i4>
      </vt:variant>
      <vt:variant>
        <vt:lpwstr>http://pa.leggiditalia.it/</vt:lpwstr>
      </vt:variant>
      <vt:variant>
        <vt:lpwstr>id=10LX0000145985ART2,__m=document</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Italiana                Del</dc:title>
  <dc:creator>gmocci</dc:creator>
  <cp:lastModifiedBy>mellino</cp:lastModifiedBy>
  <cp:revision>2</cp:revision>
  <cp:lastPrinted>2015-06-19T09:52:00Z</cp:lastPrinted>
  <dcterms:created xsi:type="dcterms:W3CDTF">2015-07-25T09:42:00Z</dcterms:created>
  <dcterms:modified xsi:type="dcterms:W3CDTF">2015-07-25T09:42:00Z</dcterms:modified>
</cp:coreProperties>
</file>